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10213" w:rsidRDefault="00D877C6">
      <w:pPr>
        <w:spacing w:after="220"/>
        <w:ind w:right="480"/>
        <w:jc w:val="right"/>
      </w:pPr>
      <w:r>
        <w:rPr>
          <w:noProof/>
        </w:rPr>
        <mc:AlternateContent>
          <mc:Choice Requires="wpg">
            <w:drawing>
              <wp:inline distT="0" distB="0" distL="0" distR="0">
                <wp:extent cx="5924550" cy="1231900"/>
                <wp:effectExtent l="0" t="0" r="0" b="0"/>
                <wp:docPr id="25279" name="Group 25279"/>
                <wp:cNvGraphicFramePr/>
                <a:graphic xmlns:a="http://schemas.openxmlformats.org/drawingml/2006/main">
                  <a:graphicData uri="http://schemas.microsoft.com/office/word/2010/wordprocessingGroup">
                    <wpg:wgp>
                      <wpg:cNvGrpSpPr/>
                      <wpg:grpSpPr>
                        <a:xfrm>
                          <a:off x="0" y="0"/>
                          <a:ext cx="5924550" cy="1231900"/>
                          <a:chOff x="0" y="0"/>
                          <a:chExt cx="5924550" cy="1231900"/>
                        </a:xfrm>
                      </wpg:grpSpPr>
                      <pic:pic xmlns:pic="http://schemas.openxmlformats.org/drawingml/2006/picture">
                        <pic:nvPicPr>
                          <pic:cNvPr id="64" name="Picture 64"/>
                          <pic:cNvPicPr/>
                        </pic:nvPicPr>
                        <pic:blipFill>
                          <a:blip r:embed="rId7"/>
                          <a:stretch>
                            <a:fillRect/>
                          </a:stretch>
                        </pic:blipFill>
                        <pic:spPr>
                          <a:xfrm>
                            <a:off x="0" y="514324"/>
                            <a:ext cx="3180080" cy="717448"/>
                          </a:xfrm>
                          <a:prstGeom prst="rect">
                            <a:avLst/>
                          </a:prstGeom>
                        </pic:spPr>
                      </pic:pic>
                      <pic:pic xmlns:pic="http://schemas.openxmlformats.org/drawingml/2006/picture">
                        <pic:nvPicPr>
                          <pic:cNvPr id="66" name="Picture 66"/>
                          <pic:cNvPicPr/>
                        </pic:nvPicPr>
                        <pic:blipFill>
                          <a:blip r:embed="rId8"/>
                          <a:stretch>
                            <a:fillRect/>
                          </a:stretch>
                        </pic:blipFill>
                        <pic:spPr>
                          <a:xfrm>
                            <a:off x="3181350" y="0"/>
                            <a:ext cx="2743200" cy="1231900"/>
                          </a:xfrm>
                          <a:prstGeom prst="rect">
                            <a:avLst/>
                          </a:prstGeom>
                        </pic:spPr>
                      </pic:pic>
                    </wpg:wgp>
                  </a:graphicData>
                </a:graphic>
              </wp:inline>
            </w:drawing>
          </mc:Choice>
          <mc:Fallback xmlns:a="http://schemas.openxmlformats.org/drawingml/2006/main">
            <w:pict>
              <v:group id="Group 25279" style="width:466.5pt;height:97pt;mso-position-horizontal-relative:char;mso-position-vertical-relative:line" coordsize="59245,12319">
                <v:shape id="Picture 64" style="position:absolute;width:31800;height:7174;left:0;top:5143;" filled="f">
                  <v:imagedata r:id="rId9"/>
                </v:shape>
                <v:shape id="Picture 66" style="position:absolute;width:27432;height:12319;left:31813;top:0;" filled="f">
                  <v:imagedata r:id="rId10"/>
                </v:shape>
              </v:group>
            </w:pict>
          </mc:Fallback>
        </mc:AlternateContent>
      </w: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ind w:left="10" w:right="421" w:hanging="10"/>
        <w:jc w:val="center"/>
      </w:pPr>
      <w:r>
        <w:rPr>
          <w:rFonts w:ascii="Times New Roman" w:eastAsia="Times New Roman" w:hAnsi="Times New Roman" w:cs="Times New Roman"/>
          <w:b/>
          <w:sz w:val="24"/>
        </w:rPr>
        <w:t xml:space="preserve">ROTARY PEACE CENTER </w:t>
      </w:r>
    </w:p>
    <w:p w:rsidR="00410213" w:rsidRDefault="00D877C6">
      <w:pPr>
        <w:spacing w:after="274"/>
        <w:ind w:right="358"/>
        <w:jc w:val="center"/>
      </w:pPr>
      <w:r>
        <w:rPr>
          <w:rFonts w:ascii="Times New Roman" w:eastAsia="Times New Roman" w:hAnsi="Times New Roman" w:cs="Times New Roman"/>
          <w:b/>
          <w:sz w:val="24"/>
        </w:rPr>
        <w:t xml:space="preserve"> </w:t>
      </w:r>
    </w:p>
    <w:p w:rsidR="00410213" w:rsidRDefault="00D877C6">
      <w:pPr>
        <w:spacing w:after="115"/>
        <w:ind w:left="10" w:right="420" w:hanging="10"/>
        <w:jc w:val="center"/>
      </w:pPr>
      <w:r>
        <w:rPr>
          <w:rFonts w:ascii="Times New Roman" w:eastAsia="Times New Roman" w:hAnsi="Times New Roman" w:cs="Times New Roman"/>
          <w:b/>
          <w:sz w:val="24"/>
        </w:rPr>
        <w:t xml:space="preserve">DEPARTMENT OF RELIGION AND PEACE STUDIES COLLEGE OF HUMANITIES AND SOCIAL SCIENCES MAKERERE UNIVERSITY </w:t>
      </w:r>
    </w:p>
    <w:p w:rsidR="00410213" w:rsidRDefault="00D877C6">
      <w:pPr>
        <w:spacing w:after="273"/>
      </w:pPr>
      <w:r>
        <w:rPr>
          <w:rFonts w:ascii="Times New Roman" w:eastAsia="Times New Roman" w:hAnsi="Times New Roman" w:cs="Times New Roman"/>
          <w:b/>
          <w:sz w:val="24"/>
        </w:rPr>
        <w:t xml:space="preserve"> </w:t>
      </w:r>
    </w:p>
    <w:p w:rsidR="00410213" w:rsidRDefault="00D877C6">
      <w:pPr>
        <w:spacing w:after="273"/>
      </w:pPr>
      <w:r>
        <w:rPr>
          <w:rFonts w:ascii="Times New Roman" w:eastAsia="Times New Roman" w:hAnsi="Times New Roman" w:cs="Times New Roman"/>
          <w:b/>
          <w:sz w:val="24"/>
        </w:rPr>
        <w:t xml:space="preserve"> </w:t>
      </w:r>
    </w:p>
    <w:p w:rsidR="00410213" w:rsidRDefault="00D877C6">
      <w:pPr>
        <w:spacing w:after="273"/>
        <w:ind w:left="10" w:right="421" w:hanging="10"/>
        <w:jc w:val="center"/>
      </w:pPr>
      <w:r>
        <w:rPr>
          <w:rFonts w:ascii="Times New Roman" w:eastAsia="Times New Roman" w:hAnsi="Times New Roman" w:cs="Times New Roman"/>
          <w:b/>
          <w:sz w:val="24"/>
        </w:rPr>
        <w:t xml:space="preserve">SOCIAL CHANGE INITIATIVE (SCI) REPORT </w:t>
      </w:r>
    </w:p>
    <w:p w:rsidR="00410213" w:rsidRDefault="00D877C6">
      <w:pPr>
        <w:spacing w:after="274"/>
        <w:ind w:right="358"/>
        <w:jc w:val="center"/>
      </w:pPr>
      <w:r>
        <w:rPr>
          <w:rFonts w:ascii="Times New Roman" w:eastAsia="Times New Roman" w:hAnsi="Times New Roman" w:cs="Times New Roman"/>
          <w:b/>
          <w:sz w:val="24"/>
        </w:rPr>
        <w:t xml:space="preserve"> </w:t>
      </w:r>
    </w:p>
    <w:p w:rsidR="00410213" w:rsidRDefault="00D877C6">
      <w:pPr>
        <w:spacing w:after="273"/>
        <w:ind w:left="111" w:hanging="10"/>
      </w:pPr>
      <w:r>
        <w:rPr>
          <w:rFonts w:ascii="Times New Roman" w:eastAsia="Times New Roman" w:hAnsi="Times New Roman" w:cs="Times New Roman"/>
          <w:b/>
          <w:sz w:val="24"/>
        </w:rPr>
        <w:t xml:space="preserve">Improved Awareness of </w:t>
      </w:r>
      <w:r>
        <w:rPr>
          <w:rFonts w:ascii="Times New Roman" w:eastAsia="Times New Roman" w:hAnsi="Times New Roman" w:cs="Times New Roman"/>
          <w:b/>
          <w:sz w:val="24"/>
        </w:rPr>
        <w:t xml:space="preserve">Sexual and Reproductive Health and Rights (SRHR) and GenderBased Violence (GBV) among Conflict-Affected Females in Fako Division, Cameroon </w:t>
      </w:r>
    </w:p>
    <w:p w:rsidR="00410213" w:rsidRDefault="00D877C6">
      <w:pPr>
        <w:spacing w:after="273"/>
      </w:pPr>
      <w:r>
        <w:rPr>
          <w:rFonts w:ascii="Times New Roman" w:eastAsia="Times New Roman" w:hAnsi="Times New Roman" w:cs="Times New Roman"/>
          <w:b/>
          <w:sz w:val="24"/>
        </w:rPr>
        <w:t xml:space="preserve"> </w:t>
      </w:r>
    </w:p>
    <w:p w:rsidR="00410213" w:rsidRDefault="00D877C6">
      <w:pPr>
        <w:spacing w:after="273"/>
        <w:ind w:left="10" w:right="420" w:hanging="10"/>
        <w:jc w:val="center"/>
      </w:pPr>
      <w:r>
        <w:rPr>
          <w:rFonts w:ascii="Times New Roman" w:eastAsia="Times New Roman" w:hAnsi="Times New Roman" w:cs="Times New Roman"/>
          <w:b/>
          <w:sz w:val="24"/>
        </w:rPr>
        <w:t xml:space="preserve">By </w:t>
      </w:r>
    </w:p>
    <w:p w:rsidR="00410213" w:rsidRDefault="00D877C6">
      <w:pPr>
        <w:spacing w:after="273"/>
        <w:ind w:right="358"/>
        <w:jc w:val="center"/>
      </w:pPr>
      <w:r>
        <w:rPr>
          <w:rFonts w:ascii="Times New Roman" w:eastAsia="Times New Roman" w:hAnsi="Times New Roman" w:cs="Times New Roman"/>
          <w:b/>
          <w:sz w:val="24"/>
        </w:rPr>
        <w:t xml:space="preserve"> </w:t>
      </w:r>
    </w:p>
    <w:p w:rsidR="00410213" w:rsidRDefault="00D877C6">
      <w:pPr>
        <w:spacing w:after="137"/>
        <w:ind w:left="10" w:right="421" w:hanging="10"/>
        <w:jc w:val="center"/>
      </w:pPr>
      <w:r>
        <w:rPr>
          <w:rFonts w:ascii="Times New Roman" w:eastAsia="Times New Roman" w:hAnsi="Times New Roman" w:cs="Times New Roman"/>
          <w:b/>
          <w:sz w:val="24"/>
        </w:rPr>
        <w:t xml:space="preserve">NKONGHO NCHONG ACHERE MPH, PhDc </w:t>
      </w:r>
    </w:p>
    <w:p w:rsidR="00410213" w:rsidRDefault="00D877C6">
      <w:pPr>
        <w:spacing w:after="134"/>
        <w:ind w:right="358"/>
        <w:jc w:val="center"/>
      </w:pPr>
      <w:r>
        <w:rPr>
          <w:rFonts w:ascii="Times New Roman" w:eastAsia="Times New Roman" w:hAnsi="Times New Roman" w:cs="Times New Roman"/>
          <w:b/>
          <w:sz w:val="24"/>
        </w:rPr>
        <w:t xml:space="preserve"> </w:t>
      </w:r>
    </w:p>
    <w:p w:rsidR="00410213" w:rsidRDefault="00D877C6">
      <w:pPr>
        <w:spacing w:after="138"/>
        <w:ind w:right="358"/>
        <w:jc w:val="center"/>
      </w:pPr>
      <w:r>
        <w:rPr>
          <w:rFonts w:ascii="Times New Roman" w:eastAsia="Times New Roman" w:hAnsi="Times New Roman" w:cs="Times New Roman"/>
          <w:b/>
          <w:sz w:val="24"/>
        </w:rPr>
        <w:t xml:space="preserve"> </w:t>
      </w:r>
    </w:p>
    <w:p w:rsidR="00410213" w:rsidRDefault="00D877C6">
      <w:pPr>
        <w:spacing w:after="273"/>
        <w:ind w:left="10" w:right="420" w:hanging="10"/>
        <w:jc w:val="center"/>
      </w:pPr>
      <w:r>
        <w:rPr>
          <w:rFonts w:ascii="Times New Roman" w:eastAsia="Times New Roman" w:hAnsi="Times New Roman" w:cs="Times New Roman"/>
          <w:b/>
          <w:sz w:val="24"/>
        </w:rPr>
        <w:t xml:space="preserve">March 2023 – September 2023 </w:t>
      </w:r>
    </w:p>
    <w:p w:rsidR="00410213" w:rsidRDefault="00D877C6">
      <w:pPr>
        <w:spacing w:after="273"/>
      </w:pPr>
      <w:r>
        <w:rPr>
          <w:rFonts w:ascii="Times New Roman" w:eastAsia="Times New Roman" w:hAnsi="Times New Roman" w:cs="Times New Roman"/>
          <w:b/>
          <w:sz w:val="24"/>
        </w:rPr>
        <w:t xml:space="preserve"> </w:t>
      </w:r>
    </w:p>
    <w:p w:rsidR="00410213" w:rsidRDefault="00D877C6">
      <w:pPr>
        <w:spacing w:after="0"/>
      </w:pPr>
      <w:r>
        <w:rPr>
          <w:rFonts w:ascii="Times New Roman" w:eastAsia="Times New Roman" w:hAnsi="Times New Roman" w:cs="Times New Roman"/>
          <w:b/>
          <w:sz w:val="24"/>
        </w:rPr>
        <w:t xml:space="preserve"> </w:t>
      </w:r>
    </w:p>
    <w:sdt>
      <w:sdtPr>
        <w:id w:val="-1837681811"/>
        <w:docPartObj>
          <w:docPartGallery w:val="Table of Contents"/>
        </w:docPartObj>
      </w:sdtPr>
      <w:sdtEndPr/>
      <w:sdtContent>
        <w:p w:rsidR="00410213" w:rsidRDefault="00D877C6">
          <w:pPr>
            <w:spacing w:after="110"/>
          </w:pPr>
          <w:r>
            <w:rPr>
              <w:rFonts w:ascii="Times New Roman" w:eastAsia="Times New Roman" w:hAnsi="Times New Roman" w:cs="Times New Roman"/>
              <w:color w:val="2E74B5"/>
              <w:sz w:val="24"/>
            </w:rPr>
            <w:t xml:space="preserve">Contents </w:t>
          </w:r>
        </w:p>
        <w:p w:rsidR="00410213" w:rsidRDefault="00D877C6">
          <w:pPr>
            <w:spacing w:after="261"/>
          </w:pPr>
          <w:r>
            <w:rPr>
              <w:rFonts w:ascii="Times New Roman" w:eastAsia="Times New Roman" w:hAnsi="Times New Roman" w:cs="Times New Roman"/>
              <w:sz w:val="24"/>
            </w:rPr>
            <w:t xml:space="preserve"> </w:t>
          </w:r>
        </w:p>
        <w:p w:rsidR="00410213" w:rsidRDefault="00D877C6">
          <w:pPr>
            <w:pStyle w:val="TOC1"/>
            <w:tabs>
              <w:tab w:val="right" w:leader="dot" w:pos="9870"/>
            </w:tabs>
          </w:pPr>
          <w:r>
            <w:fldChar w:fldCharType="begin"/>
          </w:r>
          <w:r>
            <w:instrText xml:space="preserve"> TOC \o "1-3" \h \z \u </w:instrText>
          </w:r>
          <w:r>
            <w:fldChar w:fldCharType="separate"/>
          </w:r>
          <w:hyperlink w:anchor="_Toc30297">
            <w:r>
              <w:t>ABSTRACT/SUMMARY</w:t>
            </w:r>
            <w:r>
              <w:tab/>
            </w:r>
            <w:r>
              <w:fldChar w:fldCharType="begin"/>
            </w:r>
            <w:r>
              <w:instrText>PAGEREF _Toc30297 \h</w:instrText>
            </w:r>
            <w:r>
              <w:fldChar w:fldCharType="separate"/>
            </w:r>
            <w:r>
              <w:t xml:space="preserve">3 </w:t>
            </w:r>
            <w:r>
              <w:fldChar w:fldCharType="end"/>
            </w:r>
          </w:hyperlink>
        </w:p>
        <w:p w:rsidR="00410213" w:rsidRDefault="00D877C6">
          <w:pPr>
            <w:pStyle w:val="TOC1"/>
            <w:tabs>
              <w:tab w:val="right" w:leader="dot" w:pos="9870"/>
            </w:tabs>
          </w:pPr>
          <w:hyperlink w:anchor="_Toc30298">
            <w:r>
              <w:t>CHAPTER ONE</w:t>
            </w:r>
            <w:r>
              <w:tab/>
            </w:r>
            <w:r>
              <w:fldChar w:fldCharType="begin"/>
            </w:r>
            <w:r>
              <w:instrText>PAGEREF _Toc30298 \h</w:instrText>
            </w:r>
            <w:r>
              <w:fldChar w:fldCharType="separate"/>
            </w:r>
            <w:r>
              <w:t xml:space="preserve">4 </w:t>
            </w:r>
            <w:r>
              <w:fldChar w:fldCharType="end"/>
            </w:r>
          </w:hyperlink>
        </w:p>
        <w:p w:rsidR="00410213" w:rsidRDefault="00D877C6">
          <w:pPr>
            <w:pStyle w:val="TOC1"/>
            <w:tabs>
              <w:tab w:val="right" w:leader="dot" w:pos="9870"/>
            </w:tabs>
          </w:pPr>
          <w:hyperlink w:anchor="_Toc30299">
            <w:r>
              <w:t>1.  INTRODUCTION AND BACKGROUND</w:t>
            </w:r>
            <w:r>
              <w:tab/>
            </w:r>
            <w:r>
              <w:fldChar w:fldCharType="begin"/>
            </w:r>
            <w:r>
              <w:instrText>PAGEREF _Toc30299 \h</w:instrText>
            </w:r>
            <w:r>
              <w:fldChar w:fldCharType="separate"/>
            </w:r>
            <w:r>
              <w:t xml:space="preserve">4 </w:t>
            </w:r>
            <w:r>
              <w:fldChar w:fldCharType="end"/>
            </w:r>
          </w:hyperlink>
        </w:p>
        <w:p w:rsidR="00410213" w:rsidRDefault="00D877C6">
          <w:pPr>
            <w:pStyle w:val="TOC1"/>
            <w:tabs>
              <w:tab w:val="right" w:leader="dot" w:pos="9870"/>
            </w:tabs>
          </w:pPr>
          <w:hyperlink w:anchor="_Toc30300">
            <w:r>
              <w:t>2.  PROBLEM STATEMENT</w:t>
            </w:r>
            <w:r>
              <w:tab/>
            </w:r>
            <w:r>
              <w:fldChar w:fldCharType="begin"/>
            </w:r>
            <w:r>
              <w:instrText>PAGEREF _Toc30300 \h</w:instrText>
            </w:r>
            <w:r>
              <w:fldChar w:fldCharType="separate"/>
            </w:r>
            <w:r>
              <w:t xml:space="preserve">6 </w:t>
            </w:r>
            <w:r>
              <w:fldChar w:fldCharType="end"/>
            </w:r>
          </w:hyperlink>
        </w:p>
        <w:p w:rsidR="00410213" w:rsidRDefault="00D877C6">
          <w:pPr>
            <w:pStyle w:val="TOC1"/>
            <w:tabs>
              <w:tab w:val="right" w:leader="dot" w:pos="9870"/>
            </w:tabs>
          </w:pPr>
          <w:hyperlink w:anchor="_Toc30301">
            <w:r>
              <w:t>3.  GOAL AND OBJECTIVES</w:t>
            </w:r>
            <w:r>
              <w:tab/>
            </w:r>
            <w:r>
              <w:fldChar w:fldCharType="begin"/>
            </w:r>
            <w:r>
              <w:instrText>PAGEREF _Toc30301 \h</w:instrText>
            </w:r>
            <w:r>
              <w:fldChar w:fldCharType="separate"/>
            </w:r>
            <w:r>
              <w:t xml:space="preserve">7 </w:t>
            </w:r>
            <w:r>
              <w:fldChar w:fldCharType="end"/>
            </w:r>
          </w:hyperlink>
        </w:p>
        <w:p w:rsidR="00410213" w:rsidRDefault="00D877C6">
          <w:pPr>
            <w:pStyle w:val="TOC3"/>
            <w:tabs>
              <w:tab w:val="right" w:leader="dot" w:pos="9870"/>
            </w:tabs>
          </w:pPr>
          <w:hyperlink w:anchor="_Toc30302">
            <w:r>
              <w:t>3.1.  Goal</w:t>
            </w:r>
            <w:r>
              <w:tab/>
            </w:r>
            <w:r>
              <w:fldChar w:fldCharType="begin"/>
            </w:r>
            <w:r>
              <w:instrText>PAGEREF _T</w:instrText>
            </w:r>
            <w:r>
              <w:instrText>oc30302 \h</w:instrText>
            </w:r>
            <w:r>
              <w:fldChar w:fldCharType="separate"/>
            </w:r>
            <w:r>
              <w:t xml:space="preserve">7 </w:t>
            </w:r>
            <w:r>
              <w:fldChar w:fldCharType="end"/>
            </w:r>
          </w:hyperlink>
        </w:p>
        <w:p w:rsidR="00410213" w:rsidRDefault="00D877C6">
          <w:pPr>
            <w:pStyle w:val="TOC3"/>
            <w:tabs>
              <w:tab w:val="right" w:leader="dot" w:pos="9870"/>
            </w:tabs>
          </w:pPr>
          <w:hyperlink w:anchor="_Toc30303">
            <w:r>
              <w:t>3.2.  Objectives</w:t>
            </w:r>
            <w:r>
              <w:tab/>
            </w:r>
            <w:r>
              <w:fldChar w:fldCharType="begin"/>
            </w:r>
            <w:r>
              <w:instrText>PAGEREF _Toc30303 \h</w:instrText>
            </w:r>
            <w:r>
              <w:fldChar w:fldCharType="separate"/>
            </w:r>
            <w:r>
              <w:t xml:space="preserve">7 </w:t>
            </w:r>
            <w:r>
              <w:fldChar w:fldCharType="end"/>
            </w:r>
          </w:hyperlink>
        </w:p>
        <w:p w:rsidR="00410213" w:rsidRDefault="00D877C6">
          <w:pPr>
            <w:pStyle w:val="TOC1"/>
            <w:tabs>
              <w:tab w:val="right" w:leader="dot" w:pos="9870"/>
            </w:tabs>
          </w:pPr>
          <w:hyperlink w:anchor="_Toc30304">
            <w:r>
              <w:t>4. CHALLENG</w:t>
            </w:r>
            <w:r>
              <w:t>ES AND MITIGATION STRATEGIES</w:t>
            </w:r>
            <w:r>
              <w:tab/>
            </w:r>
            <w:r>
              <w:fldChar w:fldCharType="begin"/>
            </w:r>
            <w:r>
              <w:instrText>PAGEREF _Toc30304 \h</w:instrText>
            </w:r>
            <w:r>
              <w:fldChar w:fldCharType="separate"/>
            </w:r>
            <w:r>
              <w:t xml:space="preserve">7 </w:t>
            </w:r>
            <w:r>
              <w:fldChar w:fldCharType="end"/>
            </w:r>
          </w:hyperlink>
        </w:p>
        <w:p w:rsidR="00410213" w:rsidRDefault="00D877C6">
          <w:pPr>
            <w:pStyle w:val="TOC1"/>
            <w:tabs>
              <w:tab w:val="right" w:leader="dot" w:pos="9870"/>
            </w:tabs>
          </w:pPr>
          <w:hyperlink w:anchor="_Toc30305">
            <w:r>
              <w:t>CHAPTER TWO</w:t>
            </w:r>
            <w:r>
              <w:tab/>
            </w:r>
            <w:r>
              <w:fldChar w:fldCharType="begin"/>
            </w:r>
            <w:r>
              <w:instrText>PAGEREF _Toc30305 \h</w:instrText>
            </w:r>
            <w:r>
              <w:fldChar w:fldCharType="separate"/>
            </w:r>
            <w:r>
              <w:t xml:space="preserve">9 </w:t>
            </w:r>
            <w:r>
              <w:fldChar w:fldCharType="end"/>
            </w:r>
          </w:hyperlink>
        </w:p>
        <w:p w:rsidR="00410213" w:rsidRDefault="00D877C6">
          <w:pPr>
            <w:pStyle w:val="TOC1"/>
            <w:tabs>
              <w:tab w:val="right" w:leader="dot" w:pos="9870"/>
            </w:tabs>
          </w:pPr>
          <w:hyperlink w:anchor="_Toc30306">
            <w:r>
              <w:t>1.  LITERATURE REVIEW</w:t>
            </w:r>
            <w:r>
              <w:tab/>
            </w:r>
            <w:r>
              <w:fldChar w:fldCharType="begin"/>
            </w:r>
            <w:r>
              <w:instrText>PAGEREF _Toc30306 \h</w:instrText>
            </w:r>
            <w:r>
              <w:fldChar w:fldCharType="separate"/>
            </w:r>
            <w:r>
              <w:t xml:space="preserve">9 </w:t>
            </w:r>
            <w:r>
              <w:fldChar w:fldCharType="end"/>
            </w:r>
          </w:hyperlink>
        </w:p>
        <w:p w:rsidR="00410213" w:rsidRDefault="00D877C6">
          <w:pPr>
            <w:pStyle w:val="TOC1"/>
            <w:tabs>
              <w:tab w:val="right" w:leader="dot" w:pos="9870"/>
            </w:tabs>
          </w:pPr>
          <w:hyperlink w:anchor="_Toc30307">
            <w:r>
              <w:t>2.  THEORETICAL UNDERPINNINGS</w:t>
            </w:r>
            <w:r>
              <w:tab/>
            </w:r>
            <w:r>
              <w:fldChar w:fldCharType="begin"/>
            </w:r>
            <w:r>
              <w:instrText>PAGEREF _Toc30307 \h</w:instrText>
            </w:r>
            <w:r>
              <w:fldChar w:fldCharType="separate"/>
            </w:r>
            <w:r>
              <w:t xml:space="preserve">10 </w:t>
            </w:r>
            <w:r>
              <w:fldChar w:fldCharType="end"/>
            </w:r>
          </w:hyperlink>
        </w:p>
        <w:p w:rsidR="00410213" w:rsidRDefault="00D877C6">
          <w:pPr>
            <w:pStyle w:val="TOC1"/>
            <w:tabs>
              <w:tab w:val="right" w:leader="dot" w:pos="9870"/>
            </w:tabs>
          </w:pPr>
          <w:hyperlink w:anchor="_Toc30308">
            <w:r>
              <w:t>3.  CHANGE THEORY AND HOW IT WAS APPLIED</w:t>
            </w:r>
            <w:r>
              <w:tab/>
            </w:r>
            <w:r>
              <w:fldChar w:fldCharType="begin"/>
            </w:r>
            <w:r>
              <w:instrText>PAGEREF _Toc30308 \h</w:instrText>
            </w:r>
            <w:r>
              <w:fldChar w:fldCharType="separate"/>
            </w:r>
            <w:r>
              <w:t xml:space="preserve">12 </w:t>
            </w:r>
            <w:r>
              <w:fldChar w:fldCharType="end"/>
            </w:r>
          </w:hyperlink>
        </w:p>
        <w:p w:rsidR="00410213" w:rsidRDefault="00D877C6">
          <w:pPr>
            <w:pStyle w:val="TOC1"/>
            <w:tabs>
              <w:tab w:val="right" w:leader="dot" w:pos="9870"/>
            </w:tabs>
          </w:pPr>
          <w:hyperlink w:anchor="_Toc30309">
            <w:r>
              <w:t>4.  METHODS AND DESIGN</w:t>
            </w:r>
            <w:r>
              <w:tab/>
            </w:r>
            <w:r>
              <w:fldChar w:fldCharType="begin"/>
            </w:r>
            <w:r>
              <w:instrText>PAGEREF _Toc30309 \h</w:instrText>
            </w:r>
            <w:r>
              <w:fldChar w:fldCharType="separate"/>
            </w:r>
            <w:r>
              <w:t xml:space="preserve">14 </w:t>
            </w:r>
            <w:r>
              <w:fldChar w:fldCharType="end"/>
            </w:r>
          </w:hyperlink>
        </w:p>
        <w:p w:rsidR="00410213" w:rsidRDefault="00D877C6">
          <w:pPr>
            <w:pStyle w:val="TOC2"/>
            <w:tabs>
              <w:tab w:val="right" w:leader="dot" w:pos="9870"/>
            </w:tabs>
          </w:pPr>
          <w:hyperlink w:anchor="_Toc30310">
            <w:r>
              <w:t xml:space="preserve">I.  </w:t>
            </w:r>
            <w:r>
              <w:t>Preparatory activities</w:t>
            </w:r>
            <w:r>
              <w:tab/>
            </w:r>
            <w:r>
              <w:fldChar w:fldCharType="begin"/>
            </w:r>
            <w:r>
              <w:instrText>PAGEREF _Toc30310 \h</w:instrText>
            </w:r>
            <w:r>
              <w:fldChar w:fldCharType="separate"/>
            </w:r>
            <w:r>
              <w:t xml:space="preserve">15 </w:t>
            </w:r>
            <w:r>
              <w:fldChar w:fldCharType="end"/>
            </w:r>
          </w:hyperlink>
        </w:p>
        <w:p w:rsidR="00410213" w:rsidRDefault="00D877C6">
          <w:pPr>
            <w:pStyle w:val="TOC2"/>
            <w:tabs>
              <w:tab w:val="right" w:leader="dot" w:pos="9870"/>
            </w:tabs>
          </w:pPr>
          <w:hyperlink w:anchor="_Toc30311">
            <w:r>
              <w:t>II. Logical Framework</w:t>
            </w:r>
            <w:r>
              <w:tab/>
            </w:r>
            <w:r>
              <w:fldChar w:fldCharType="begin"/>
            </w:r>
            <w:r>
              <w:instrText>PAGEREF _Toc30311 \h</w:instrText>
            </w:r>
            <w:r>
              <w:fldChar w:fldCharType="separate"/>
            </w:r>
            <w:r>
              <w:t xml:space="preserve">16 </w:t>
            </w:r>
            <w:r>
              <w:fldChar w:fldCharType="end"/>
            </w:r>
          </w:hyperlink>
        </w:p>
        <w:p w:rsidR="00410213" w:rsidRDefault="00D877C6">
          <w:pPr>
            <w:pStyle w:val="TOC1"/>
            <w:tabs>
              <w:tab w:val="right" w:leader="dot" w:pos="9870"/>
            </w:tabs>
          </w:pPr>
          <w:hyperlink w:anchor="_Toc30312">
            <w:r>
              <w:t>CHAPTER THREE</w:t>
            </w:r>
            <w:r>
              <w:tab/>
            </w:r>
            <w:r>
              <w:fldChar w:fldCharType="begin"/>
            </w:r>
            <w:r>
              <w:instrText>PAGEREF _Toc30312 \h</w:instrText>
            </w:r>
            <w:r>
              <w:fldChar w:fldCharType="separate"/>
            </w:r>
            <w:r>
              <w:t xml:space="preserve">17 </w:t>
            </w:r>
            <w:r>
              <w:fldChar w:fldCharType="end"/>
            </w:r>
          </w:hyperlink>
        </w:p>
        <w:p w:rsidR="00410213" w:rsidRDefault="00D877C6">
          <w:pPr>
            <w:pStyle w:val="TOC1"/>
            <w:tabs>
              <w:tab w:val="right" w:leader="dot" w:pos="9870"/>
            </w:tabs>
          </w:pPr>
          <w:hyperlink w:anchor="_Toc30313">
            <w:r>
              <w:t>1. INTERVENTIONS AND ACTIVITIES</w:t>
            </w:r>
            <w:r>
              <w:tab/>
            </w:r>
            <w:r>
              <w:fldChar w:fldCharType="begin"/>
            </w:r>
            <w:r>
              <w:instrText>PAGEREF _Toc30313 \h</w:instrText>
            </w:r>
            <w:r>
              <w:fldChar w:fldCharType="separate"/>
            </w:r>
            <w:r>
              <w:t xml:space="preserve">17 </w:t>
            </w:r>
            <w:r>
              <w:fldChar w:fldCharType="end"/>
            </w:r>
          </w:hyperlink>
        </w:p>
        <w:p w:rsidR="00410213" w:rsidRDefault="00D877C6">
          <w:pPr>
            <w:pStyle w:val="TOC2"/>
            <w:tabs>
              <w:tab w:val="right" w:leader="dot" w:pos="9870"/>
            </w:tabs>
          </w:pPr>
          <w:hyperlink w:anchor="_Toc30314">
            <w:r>
              <w:t>i. Literature Review to Identify Gaps</w:t>
            </w:r>
            <w:r>
              <w:tab/>
            </w:r>
            <w:r>
              <w:fldChar w:fldCharType="begin"/>
            </w:r>
            <w:r>
              <w:instrText>PAGEREF _Toc30314 \h</w:instrText>
            </w:r>
            <w:r>
              <w:fldChar w:fldCharType="separate"/>
            </w:r>
            <w:r>
              <w:t xml:space="preserve">17 </w:t>
            </w:r>
            <w:r>
              <w:fldChar w:fldCharType="end"/>
            </w:r>
          </w:hyperlink>
        </w:p>
        <w:p w:rsidR="00410213" w:rsidRDefault="00D877C6">
          <w:pPr>
            <w:pStyle w:val="TOC2"/>
            <w:tabs>
              <w:tab w:val="right" w:leader="dot" w:pos="9870"/>
            </w:tabs>
          </w:pPr>
          <w:hyperlink w:anchor="_Toc30315">
            <w:r>
              <w:t xml:space="preserve">ii. Training of facilitators (SRHH/GBV </w:t>
            </w:r>
            <w:r>
              <w:t>expert volunteers)</w:t>
            </w:r>
            <w:r>
              <w:tab/>
            </w:r>
            <w:r>
              <w:fldChar w:fldCharType="begin"/>
            </w:r>
            <w:r>
              <w:instrText>PAGEREF _Toc30315 \h</w:instrText>
            </w:r>
            <w:r>
              <w:fldChar w:fldCharType="separate"/>
            </w:r>
            <w:r>
              <w:t xml:space="preserve">17 </w:t>
            </w:r>
            <w:r>
              <w:fldChar w:fldCharType="end"/>
            </w:r>
          </w:hyperlink>
        </w:p>
        <w:p w:rsidR="00410213" w:rsidRDefault="00D877C6">
          <w:pPr>
            <w:pStyle w:val="TOC2"/>
            <w:tabs>
              <w:tab w:val="right" w:leader="dot" w:pos="9870"/>
            </w:tabs>
          </w:pPr>
          <w:hyperlink w:anchor="_Toc30316">
            <w:r>
              <w:t>iii. Community mobilization</w:t>
            </w:r>
            <w:r>
              <w:tab/>
            </w:r>
            <w:r>
              <w:fldChar w:fldCharType="begin"/>
            </w:r>
            <w:r>
              <w:instrText>PAGEREF _Toc30316 \h</w:instrText>
            </w:r>
            <w:r>
              <w:fldChar w:fldCharType="separate"/>
            </w:r>
            <w:r>
              <w:t xml:space="preserve">17 </w:t>
            </w:r>
            <w:r>
              <w:fldChar w:fldCharType="end"/>
            </w:r>
          </w:hyperlink>
        </w:p>
        <w:p w:rsidR="00410213" w:rsidRDefault="00D877C6">
          <w:pPr>
            <w:pStyle w:val="TOC2"/>
            <w:tabs>
              <w:tab w:val="right" w:leader="dot" w:pos="9870"/>
            </w:tabs>
          </w:pPr>
          <w:hyperlink w:anchor="_Toc30317">
            <w:r>
              <w:t>iv. Community outreach/campaign</w:t>
            </w:r>
            <w:r>
              <w:tab/>
            </w:r>
            <w:r>
              <w:fldChar w:fldCharType="begin"/>
            </w:r>
            <w:r>
              <w:instrText>PAGEREF _Toc30317 \h</w:instrText>
            </w:r>
            <w:r>
              <w:fldChar w:fldCharType="separate"/>
            </w:r>
            <w:r>
              <w:t xml:space="preserve">17 </w:t>
            </w:r>
            <w:r>
              <w:fldChar w:fldCharType="end"/>
            </w:r>
          </w:hyperlink>
        </w:p>
        <w:p w:rsidR="00410213" w:rsidRDefault="00D877C6">
          <w:pPr>
            <w:pStyle w:val="TOC2"/>
            <w:tabs>
              <w:tab w:val="right" w:leader="dot" w:pos="9870"/>
            </w:tabs>
          </w:pPr>
          <w:hyperlink w:anchor="_Toc30318">
            <w:r>
              <w:t>v. Media Ou</w:t>
            </w:r>
            <w:r>
              <w:t>treach/Engagement</w:t>
            </w:r>
            <w:r>
              <w:tab/>
            </w:r>
            <w:r>
              <w:fldChar w:fldCharType="begin"/>
            </w:r>
            <w:r>
              <w:instrText>PAGEREF _Toc30318 \h</w:instrText>
            </w:r>
            <w:r>
              <w:fldChar w:fldCharType="separate"/>
            </w:r>
            <w:r>
              <w:t xml:space="preserve">17 </w:t>
            </w:r>
            <w:r>
              <w:fldChar w:fldCharType="end"/>
            </w:r>
          </w:hyperlink>
        </w:p>
        <w:p w:rsidR="00410213" w:rsidRDefault="00D877C6">
          <w:pPr>
            <w:pStyle w:val="TOC1"/>
            <w:tabs>
              <w:tab w:val="right" w:leader="dot" w:pos="9870"/>
            </w:tabs>
          </w:pPr>
          <w:hyperlink w:anchor="_Toc30319">
            <w:r>
              <w:t>2. KEY FINDINGS/IMPACT</w:t>
            </w:r>
            <w:r>
              <w:tab/>
            </w:r>
            <w:r>
              <w:fldChar w:fldCharType="begin"/>
            </w:r>
            <w:r>
              <w:instrText>PAGEREF _Toc30319 \h</w:instrText>
            </w:r>
            <w:r>
              <w:fldChar w:fldCharType="separate"/>
            </w:r>
            <w:r>
              <w:t xml:space="preserve">18 </w:t>
            </w:r>
            <w:r>
              <w:fldChar w:fldCharType="end"/>
            </w:r>
          </w:hyperlink>
        </w:p>
        <w:p w:rsidR="00410213" w:rsidRDefault="00D877C6">
          <w:pPr>
            <w:pStyle w:val="TOC1"/>
            <w:tabs>
              <w:tab w:val="right" w:leader="dot" w:pos="9870"/>
            </w:tabs>
          </w:pPr>
          <w:hyperlink w:anchor="_Toc30320">
            <w:r>
              <w:t>CHAPTER FOUR</w:t>
            </w:r>
            <w:r>
              <w:tab/>
            </w:r>
            <w:r>
              <w:fldChar w:fldCharType="begin"/>
            </w:r>
            <w:r>
              <w:instrText>PAGEREF _Toc30320 \h</w:instrText>
            </w:r>
            <w:r>
              <w:fldChar w:fldCharType="separate"/>
            </w:r>
            <w:r>
              <w:t xml:space="preserve">19 </w:t>
            </w:r>
            <w:r>
              <w:fldChar w:fldCharType="end"/>
            </w:r>
          </w:hyperlink>
        </w:p>
        <w:p w:rsidR="00410213" w:rsidRDefault="00D877C6">
          <w:pPr>
            <w:pStyle w:val="TOC1"/>
            <w:tabs>
              <w:tab w:val="right" w:leader="dot" w:pos="9870"/>
            </w:tabs>
          </w:pPr>
          <w:hyperlink w:anchor="_Toc30321">
            <w:r>
              <w:t>1.  GENERAL CONCLUSION</w:t>
            </w:r>
            <w:r>
              <w:tab/>
            </w:r>
            <w:r>
              <w:fldChar w:fldCharType="begin"/>
            </w:r>
            <w:r>
              <w:instrText>PAGEREF _Toc30321 \h</w:instrText>
            </w:r>
            <w:r>
              <w:fldChar w:fldCharType="separate"/>
            </w:r>
            <w:r>
              <w:t xml:space="preserve">19 </w:t>
            </w:r>
            <w:r>
              <w:fldChar w:fldCharType="end"/>
            </w:r>
          </w:hyperlink>
        </w:p>
        <w:p w:rsidR="00410213" w:rsidRDefault="00D877C6">
          <w:pPr>
            <w:pStyle w:val="TOC1"/>
            <w:tabs>
              <w:tab w:val="right" w:leader="dot" w:pos="9870"/>
            </w:tabs>
          </w:pPr>
          <w:hyperlink w:anchor="_Toc30322">
            <w:r>
              <w:t>2.  RECOMMENDATIONS/IMPLICATIONS FOR POLICY</w:t>
            </w:r>
            <w:r>
              <w:tab/>
            </w:r>
            <w:r>
              <w:fldChar w:fldCharType="begin"/>
            </w:r>
            <w:r>
              <w:instrText>PAGEREF _Toc30322 \h</w:instrText>
            </w:r>
            <w:r>
              <w:fldChar w:fldCharType="separate"/>
            </w:r>
            <w:r>
              <w:t xml:space="preserve">19 </w:t>
            </w:r>
            <w:r>
              <w:fldChar w:fldCharType="end"/>
            </w:r>
          </w:hyperlink>
        </w:p>
        <w:p w:rsidR="00410213" w:rsidRDefault="00D877C6">
          <w:pPr>
            <w:pStyle w:val="TOC1"/>
            <w:tabs>
              <w:tab w:val="right" w:leader="dot" w:pos="9870"/>
            </w:tabs>
          </w:pPr>
          <w:hyperlink w:anchor="_Toc30323">
            <w:r>
              <w:t>3. SUSTAINABILITY PLAN</w:t>
            </w:r>
            <w:r>
              <w:tab/>
            </w:r>
            <w:r>
              <w:fldChar w:fldCharType="begin"/>
            </w:r>
            <w:r>
              <w:instrText>PAGEREF _Toc30323 \h</w:instrText>
            </w:r>
            <w:r>
              <w:fldChar w:fldCharType="separate"/>
            </w:r>
            <w:r>
              <w:t xml:space="preserve">19 </w:t>
            </w:r>
            <w:r>
              <w:fldChar w:fldCharType="end"/>
            </w:r>
          </w:hyperlink>
        </w:p>
        <w:p w:rsidR="00410213" w:rsidRDefault="00D877C6">
          <w:pPr>
            <w:pStyle w:val="TOC1"/>
            <w:tabs>
              <w:tab w:val="right" w:leader="dot" w:pos="9870"/>
            </w:tabs>
          </w:pPr>
          <w:hyperlink w:anchor="_Toc30324">
            <w:r>
              <w:t>APPENDICES</w:t>
            </w:r>
            <w:r>
              <w:tab/>
            </w:r>
            <w:r>
              <w:fldChar w:fldCharType="begin"/>
            </w:r>
            <w:r>
              <w:instrText>PAGEREF _Toc30324 \h</w:instrText>
            </w:r>
            <w:r>
              <w:fldChar w:fldCharType="separate"/>
            </w:r>
            <w:r>
              <w:t xml:space="preserve">21 </w:t>
            </w:r>
            <w:r>
              <w:fldChar w:fldCharType="end"/>
            </w:r>
          </w:hyperlink>
        </w:p>
        <w:p w:rsidR="00410213" w:rsidRDefault="00D877C6">
          <w:pPr>
            <w:pStyle w:val="TOC1"/>
            <w:tabs>
              <w:tab w:val="right" w:leader="dot" w:pos="9870"/>
            </w:tabs>
          </w:pPr>
          <w:hyperlink w:anchor="_Toc30325">
            <w:r>
              <w:t>1.  REFERENCES</w:t>
            </w:r>
            <w:r>
              <w:tab/>
            </w:r>
            <w:r>
              <w:fldChar w:fldCharType="begin"/>
            </w:r>
            <w:r>
              <w:instrText>PAGEREF _Toc30325 \h</w:instrText>
            </w:r>
            <w:r>
              <w:fldChar w:fldCharType="separate"/>
            </w:r>
            <w:r>
              <w:t xml:space="preserve">21 </w:t>
            </w:r>
            <w:r>
              <w:fldChar w:fldCharType="end"/>
            </w:r>
          </w:hyperlink>
        </w:p>
        <w:p w:rsidR="00410213" w:rsidRDefault="00D877C6">
          <w:pPr>
            <w:pStyle w:val="TOC1"/>
            <w:tabs>
              <w:tab w:val="right" w:leader="dot" w:pos="9870"/>
            </w:tabs>
          </w:pPr>
          <w:hyperlink w:anchor="_Toc30326">
            <w:r>
              <w:t>2.  PICTORALS</w:t>
            </w:r>
            <w:r>
              <w:tab/>
            </w:r>
            <w:r>
              <w:fldChar w:fldCharType="begin"/>
            </w:r>
            <w:r>
              <w:instrText>PAGEREF _Toc303</w:instrText>
            </w:r>
            <w:r>
              <w:instrText>26 \h</w:instrText>
            </w:r>
            <w:r>
              <w:fldChar w:fldCharType="separate"/>
            </w:r>
            <w:r>
              <w:t xml:space="preserve">23 </w:t>
            </w:r>
            <w:r>
              <w:fldChar w:fldCharType="end"/>
            </w:r>
          </w:hyperlink>
        </w:p>
        <w:p w:rsidR="00410213" w:rsidRDefault="00D877C6">
          <w:r>
            <w:fldChar w:fldCharType="end"/>
          </w:r>
        </w:p>
      </w:sdtContent>
    </w:sdt>
    <w:p w:rsidR="00410213" w:rsidRDefault="00D877C6">
      <w:pPr>
        <w:spacing w:after="259"/>
      </w:pPr>
      <w:r>
        <w:rPr>
          <w:rFonts w:ascii="Times New Roman" w:eastAsia="Times New Roman" w:hAnsi="Times New Roman" w:cs="Times New Roman"/>
          <w:sz w:val="24"/>
        </w:rPr>
        <w:t xml:space="preserve"> </w:t>
      </w:r>
    </w:p>
    <w:p w:rsidR="00410213" w:rsidRDefault="00D877C6">
      <w:pPr>
        <w:spacing w:after="0"/>
      </w:pPr>
      <w:r>
        <w:t xml:space="preserve"> </w:t>
      </w:r>
    </w:p>
    <w:p w:rsidR="00410213" w:rsidRDefault="00D877C6">
      <w:pPr>
        <w:pStyle w:val="Heading1"/>
        <w:spacing w:after="275"/>
        <w:ind w:right="7158"/>
      </w:pPr>
      <w:bookmarkStart w:id="1" w:name="_Toc30297"/>
      <w:r>
        <w:t xml:space="preserve">ABSTRACT/SUMMARY </w:t>
      </w:r>
      <w:r>
        <w:rPr>
          <w:b w:val="0"/>
        </w:rPr>
        <w:t xml:space="preserve"> </w:t>
      </w:r>
      <w:bookmarkEnd w:id="1"/>
    </w:p>
    <w:p w:rsidR="00410213" w:rsidRDefault="00D877C6">
      <w:pPr>
        <w:spacing w:after="157" w:line="361" w:lineRule="auto"/>
        <w:ind w:left="-5" w:right="405" w:hanging="10"/>
        <w:jc w:val="both"/>
      </w:pPr>
      <w:r>
        <w:rPr>
          <w:rFonts w:ascii="Times New Roman" w:eastAsia="Times New Roman" w:hAnsi="Times New Roman" w:cs="Times New Roman"/>
          <w:sz w:val="24"/>
        </w:rPr>
        <w:t>Sexual and reproductive health and rights (SRHR) violation and gender-based violence (GBV) increases in conflict settings and mostly affects women and gir</w:t>
      </w:r>
      <w:r>
        <w:rPr>
          <w:rFonts w:ascii="Times New Roman" w:eastAsia="Times New Roman" w:hAnsi="Times New Roman" w:cs="Times New Roman"/>
          <w:sz w:val="24"/>
        </w:rPr>
        <w:t xml:space="preserve">ls. In the over five years of </w:t>
      </w:r>
      <w:r>
        <w:rPr>
          <w:rFonts w:ascii="Times New Roman" w:eastAsia="Times New Roman" w:hAnsi="Times New Roman" w:cs="Times New Roman"/>
          <w:sz w:val="24"/>
        </w:rPr>
        <w:lastRenderedPageBreak/>
        <w:t xml:space="preserve">conflictaffected setting of Fako Division, Southwest Region, Cameroon, where the Mile-16 community is hardest hit, most women and girls are vulnerable due to limited awareness about their SRHR and GBV.  </w:t>
      </w:r>
    </w:p>
    <w:p w:rsidR="00410213" w:rsidRDefault="00D877C6">
      <w:pPr>
        <w:spacing w:after="154" w:line="363" w:lineRule="auto"/>
        <w:ind w:left="-5" w:right="413" w:hanging="10"/>
      </w:pPr>
      <w:r>
        <w:rPr>
          <w:rFonts w:ascii="Times New Roman" w:eastAsia="Times New Roman" w:hAnsi="Times New Roman" w:cs="Times New Roman"/>
          <w:sz w:val="24"/>
        </w:rPr>
        <w:t xml:space="preserve">This </w:t>
      </w:r>
      <w:r>
        <w:rPr>
          <w:rFonts w:ascii="Times New Roman" w:eastAsia="Times New Roman" w:hAnsi="Times New Roman" w:cs="Times New Roman"/>
          <w:sz w:val="24"/>
        </w:rPr>
        <w:t>social change initiative (SCI)</w:t>
      </w:r>
      <w:r>
        <w:rPr>
          <w:sz w:val="24"/>
          <w:vertAlign w:val="subscript"/>
        </w:rPr>
        <w:t xml:space="preserve"> </w:t>
      </w:r>
      <w:r>
        <w:rPr>
          <w:rFonts w:ascii="Times New Roman" w:eastAsia="Times New Roman" w:hAnsi="Times New Roman" w:cs="Times New Roman"/>
          <w:sz w:val="24"/>
        </w:rPr>
        <w:t xml:space="preserve">aimed at improving the awareness of SRHR and GBV among women and girls in the conflict-affected setting of Fako Division, Cameroon. </w:t>
      </w:r>
    </w:p>
    <w:p w:rsidR="00410213" w:rsidRDefault="00D877C6">
      <w:pPr>
        <w:spacing w:after="157" w:line="361" w:lineRule="auto"/>
        <w:ind w:left="-5" w:right="405" w:hanging="10"/>
        <w:jc w:val="both"/>
      </w:pPr>
      <w:r>
        <w:rPr>
          <w:rFonts w:ascii="Times New Roman" w:eastAsia="Times New Roman" w:hAnsi="Times New Roman" w:cs="Times New Roman"/>
          <w:sz w:val="24"/>
        </w:rPr>
        <w:t>The SCI project utilized a sequential and community-based design and targeted (270 participa</w:t>
      </w:r>
      <w:r>
        <w:rPr>
          <w:rFonts w:ascii="Times New Roman" w:eastAsia="Times New Roman" w:hAnsi="Times New Roman" w:cs="Times New Roman"/>
          <w:sz w:val="24"/>
        </w:rPr>
        <w:t xml:space="preserve">nts); over 200 community members for the SRHR/GBV awareness raising campaigns, 50 women and girls and 20 community leaders in providing sensitization on GBV and SRHR. The sensitization was implemented with support from recruited community focal points and </w:t>
      </w:r>
      <w:r>
        <w:rPr>
          <w:rFonts w:ascii="Times New Roman" w:eastAsia="Times New Roman" w:hAnsi="Times New Roman" w:cs="Times New Roman"/>
          <w:sz w:val="24"/>
        </w:rPr>
        <w:t>SRHR/GBV expert community volunteers’ due security and inaccessibility constraints. The awareness raising sessions covered topics such as women’s SRHR, GBV, identifying SRHR violations, existing laws and supportive structures for women, and how community l</w:t>
      </w:r>
      <w:r>
        <w:rPr>
          <w:rFonts w:ascii="Times New Roman" w:eastAsia="Times New Roman" w:hAnsi="Times New Roman" w:cs="Times New Roman"/>
          <w:sz w:val="24"/>
        </w:rPr>
        <w:t xml:space="preserve">eaders can champion the fight against GBV and women/girls SRHR violations. </w:t>
      </w:r>
    </w:p>
    <w:p w:rsidR="00410213" w:rsidRDefault="00D877C6">
      <w:pPr>
        <w:spacing w:after="157" w:line="361" w:lineRule="auto"/>
        <w:ind w:left="-5" w:right="405" w:hanging="10"/>
        <w:jc w:val="both"/>
      </w:pPr>
      <w:r>
        <w:rPr>
          <w:rFonts w:ascii="Times New Roman" w:eastAsia="Times New Roman" w:hAnsi="Times New Roman" w:cs="Times New Roman"/>
          <w:sz w:val="24"/>
        </w:rPr>
        <w:t>Through mass community sensitization at churches and media most utilized by community members, engagements with community leaders and focus group discussions with young men and wom</w:t>
      </w:r>
      <w:r>
        <w:rPr>
          <w:rFonts w:ascii="Times New Roman" w:eastAsia="Times New Roman" w:hAnsi="Times New Roman" w:cs="Times New Roman"/>
          <w:sz w:val="24"/>
        </w:rPr>
        <w:t xml:space="preserve">en, over 2030 participants; 2000 community members were reached through mass sensitization through TV, radio and churches, 20 young girls with one-to-one focus group engagements and ten community leaders were bought-in as champions of SRHR and non-GBV.  </w:t>
      </w:r>
    </w:p>
    <w:p w:rsidR="00410213" w:rsidRDefault="00D877C6">
      <w:pPr>
        <w:spacing w:after="157" w:line="361" w:lineRule="auto"/>
        <w:ind w:left="-5" w:right="405" w:hanging="10"/>
        <w:jc w:val="both"/>
      </w:pPr>
      <w:r>
        <w:rPr>
          <w:rFonts w:ascii="Times New Roman" w:eastAsia="Times New Roman" w:hAnsi="Times New Roman" w:cs="Times New Roman"/>
          <w:sz w:val="24"/>
        </w:rPr>
        <w:t>T</w:t>
      </w:r>
      <w:r>
        <w:rPr>
          <w:rFonts w:ascii="Times New Roman" w:eastAsia="Times New Roman" w:hAnsi="Times New Roman" w:cs="Times New Roman"/>
          <w:sz w:val="24"/>
        </w:rPr>
        <w:t xml:space="preserve">he project realised commitments from community leaders and women group representatives to utilise their existing structures in supporting victims and enacting punishments for perpetrators. Though several challenges, such as insecurity, financial gaps, and </w:t>
      </w:r>
      <w:r>
        <w:rPr>
          <w:rFonts w:ascii="Times New Roman" w:eastAsia="Times New Roman" w:hAnsi="Times New Roman" w:cs="Times New Roman"/>
          <w:sz w:val="24"/>
        </w:rPr>
        <w:t xml:space="preserve">health effects, existed, selffunding and using volunteers were utilised as mitigation measures. </w:t>
      </w:r>
    </w:p>
    <w:p w:rsidR="00410213" w:rsidRDefault="00D877C6">
      <w:pPr>
        <w:spacing w:after="157" w:line="361" w:lineRule="auto"/>
        <w:ind w:left="-5" w:right="405" w:hanging="10"/>
        <w:jc w:val="both"/>
      </w:pPr>
      <w:r>
        <w:rPr>
          <w:rFonts w:ascii="Times New Roman" w:eastAsia="Times New Roman" w:hAnsi="Times New Roman" w:cs="Times New Roman"/>
          <w:sz w:val="24"/>
        </w:rPr>
        <w:t>The project recommends expansion of women’s SRHR and GBV sensitisation to wider community members and long-term focused implementation for sustained impact whi</w:t>
      </w:r>
      <w:r>
        <w:rPr>
          <w:rFonts w:ascii="Times New Roman" w:eastAsia="Times New Roman" w:hAnsi="Times New Roman" w:cs="Times New Roman"/>
          <w:sz w:val="24"/>
        </w:rPr>
        <w:t xml:space="preserve">le strengthening existing community structures.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1"/>
        <w:spacing w:after="355"/>
        <w:ind w:right="0"/>
      </w:pPr>
      <w:bookmarkStart w:id="2" w:name="_Toc30298"/>
      <w:r>
        <w:t xml:space="preserve">CHAPTER ONE </w:t>
      </w:r>
      <w:bookmarkEnd w:id="2"/>
    </w:p>
    <w:p w:rsidR="00410213" w:rsidRDefault="00D877C6">
      <w:pPr>
        <w:pStyle w:val="Heading1"/>
        <w:ind w:left="355" w:right="0"/>
      </w:pPr>
      <w:bookmarkStart w:id="3" w:name="_Toc30299"/>
      <w:r>
        <w:t>1.</w:t>
      </w:r>
      <w:r>
        <w:rPr>
          <w:rFonts w:ascii="Arial" w:eastAsia="Arial" w:hAnsi="Arial" w:cs="Arial"/>
        </w:rPr>
        <w:t xml:space="preserve"> </w:t>
      </w:r>
      <w:r>
        <w:t xml:space="preserve">INTRODUCTION AND BACKGROUND  </w:t>
      </w:r>
      <w:bookmarkEnd w:id="3"/>
    </w:p>
    <w:p w:rsidR="00410213" w:rsidRDefault="00D877C6">
      <w:pPr>
        <w:spacing w:after="157" w:line="361" w:lineRule="auto"/>
        <w:ind w:left="-5" w:right="405" w:hanging="10"/>
        <w:jc w:val="both"/>
      </w:pPr>
      <w:r>
        <w:rPr>
          <w:rFonts w:ascii="Times New Roman" w:eastAsia="Times New Roman" w:hAnsi="Times New Roman" w:cs="Times New Roman"/>
          <w:sz w:val="24"/>
        </w:rPr>
        <w:t xml:space="preserve">Women’s poor awareness of their sexual and reproductive health and rights (SRHR) </w:t>
      </w:r>
      <w:r>
        <w:rPr>
          <w:rFonts w:ascii="Times New Roman" w:eastAsia="Times New Roman" w:hAnsi="Times New Roman" w:cs="Times New Roman"/>
          <w:sz w:val="24"/>
        </w:rPr>
        <w:t xml:space="preserve">is a primary global development problem. Worse, their inability to control their sexual and reproductive health </w:t>
      </w:r>
      <w:r>
        <w:rPr>
          <w:rFonts w:ascii="Times New Roman" w:eastAsia="Times New Roman" w:hAnsi="Times New Roman" w:cs="Times New Roman"/>
          <w:sz w:val="24"/>
        </w:rPr>
        <w:lastRenderedPageBreak/>
        <w:t>in conflict-affected settings is a gross violation of women’s rights, affecting the lives and physical and mental health of millions globally (H</w:t>
      </w:r>
      <w:r>
        <w:rPr>
          <w:rFonts w:ascii="Times New Roman" w:eastAsia="Times New Roman" w:hAnsi="Times New Roman" w:cs="Times New Roman"/>
          <w:sz w:val="24"/>
        </w:rPr>
        <w:t xml:space="preserve">eidari and Moreno, 2016; WHO, 2021).   </w:t>
      </w:r>
    </w:p>
    <w:p w:rsidR="00410213" w:rsidRDefault="00D877C6">
      <w:pPr>
        <w:spacing w:after="157" w:line="361" w:lineRule="auto"/>
        <w:ind w:left="-5" w:right="405" w:hanging="10"/>
        <w:jc w:val="both"/>
      </w:pPr>
      <w:r>
        <w:rPr>
          <w:rFonts w:ascii="Times New Roman" w:eastAsia="Times New Roman" w:hAnsi="Times New Roman" w:cs="Times New Roman"/>
          <w:sz w:val="24"/>
        </w:rPr>
        <w:t>Gender-based violence (GBV) against women and girls starts at a young age and has remained overwhelmingly persistent (WHO, 2021). Over the past decade, globally, every 1 in 3 women, around 736 million, have been subj</w:t>
      </w:r>
      <w:r>
        <w:rPr>
          <w:rFonts w:ascii="Times New Roman" w:eastAsia="Times New Roman" w:hAnsi="Times New Roman" w:cs="Times New Roman"/>
          <w:sz w:val="24"/>
        </w:rPr>
        <w:t xml:space="preserve">ects of physical or sexual violence by an intimate partner or sexual violence from a non-partner (WHO, 2021). Before reaching their mid-twenties, 1 in 4 young women (aged 15-24 years) who have been in a relationship will experience violence by an intimate </w:t>
      </w:r>
      <w:r>
        <w:rPr>
          <w:rFonts w:ascii="Times New Roman" w:eastAsia="Times New Roman" w:hAnsi="Times New Roman" w:cs="Times New Roman"/>
          <w:sz w:val="24"/>
        </w:rPr>
        <w:t xml:space="preserve">partner (WHO, 2021). </w:t>
      </w:r>
    </w:p>
    <w:p w:rsidR="00410213" w:rsidRDefault="00D877C6">
      <w:pPr>
        <w:spacing w:after="157" w:line="361" w:lineRule="auto"/>
        <w:ind w:left="-5" w:right="405" w:hanging="10"/>
        <w:jc w:val="both"/>
      </w:pPr>
      <w:r>
        <w:rPr>
          <w:rFonts w:ascii="Times New Roman" w:eastAsia="Times New Roman" w:hAnsi="Times New Roman" w:cs="Times New Roman"/>
          <w:sz w:val="24"/>
        </w:rPr>
        <w:t xml:space="preserve">Fako Division, the Southwestern region of Cameroon, has been in a conflict-related humanitarian crisis since 2016 (UNOCHA, 2019). A humanitarian needs assessment of the region, as shared by UNOCHA in 2019, revealed that more than 85% </w:t>
      </w:r>
      <w:r>
        <w:rPr>
          <w:rFonts w:ascii="Times New Roman" w:eastAsia="Times New Roman" w:hAnsi="Times New Roman" w:cs="Times New Roman"/>
          <w:sz w:val="24"/>
        </w:rPr>
        <w:t>of respondents, women and girls, experience rape, sexual assault, intimate partner violence, denial of resources/opportunities, psychological abuse, physical violence, and early marriage (UNOCHA, 2019). In addition, more than 70% of women and girls have ex</w:t>
      </w:r>
      <w:r>
        <w:rPr>
          <w:rFonts w:ascii="Times New Roman" w:eastAsia="Times New Roman" w:hAnsi="Times New Roman" w:cs="Times New Roman"/>
          <w:sz w:val="24"/>
        </w:rPr>
        <w:t>pressed an increase in security concerns affecting women and girls and a noticeable increase in reported rape cases since the start of the crisis (UNOCHA, 2019). Furthermore, 58% of respondents in this assessment stated that most survivors do not tell or s</w:t>
      </w:r>
      <w:r>
        <w:rPr>
          <w:rFonts w:ascii="Times New Roman" w:eastAsia="Times New Roman" w:hAnsi="Times New Roman" w:cs="Times New Roman"/>
          <w:sz w:val="24"/>
        </w:rPr>
        <w:t xml:space="preserve">eek assistance when they experience violence because they think people will not believe them (UNOCHA, 2019). Fako Division's prevalence is over 50% (UNOCHA, 2019). </w:t>
      </w:r>
    </w:p>
    <w:p w:rsidR="00410213" w:rsidRDefault="00D877C6">
      <w:pPr>
        <w:spacing w:after="33" w:line="361" w:lineRule="auto"/>
        <w:ind w:left="-5" w:right="405" w:hanging="10"/>
        <w:jc w:val="both"/>
      </w:pPr>
      <w:r>
        <w:rPr>
          <w:rFonts w:ascii="Times New Roman" w:eastAsia="Times New Roman" w:hAnsi="Times New Roman" w:cs="Times New Roman"/>
          <w:sz w:val="24"/>
        </w:rPr>
        <w:t>Sexual and reproductive health and rights entail holders to claim their rights. In a simila</w:t>
      </w:r>
      <w:r>
        <w:rPr>
          <w:rFonts w:ascii="Times New Roman" w:eastAsia="Times New Roman" w:hAnsi="Times New Roman" w:cs="Times New Roman"/>
          <w:sz w:val="24"/>
        </w:rPr>
        <w:t xml:space="preserve">r setting in Kenya, SRHR unawareness limits women and girls' ability to claim these rights and equally results in low SRH outcomes (Center for Reproductive Rights, 2021). A qualitative study conducted in </w:t>
      </w:r>
    </w:p>
    <w:p w:rsidR="00410213" w:rsidRDefault="00D877C6">
      <w:pPr>
        <w:spacing w:after="157" w:line="361" w:lineRule="auto"/>
        <w:ind w:left="-5" w:right="405" w:hanging="10"/>
        <w:jc w:val="both"/>
      </w:pPr>
      <w:r>
        <w:rPr>
          <w:rFonts w:ascii="Times New Roman" w:eastAsia="Times New Roman" w:hAnsi="Times New Roman" w:cs="Times New Roman"/>
          <w:sz w:val="24"/>
        </w:rPr>
        <w:t>2021 on adolescents and young women’s SRHR in slums</w:t>
      </w:r>
      <w:r>
        <w:rPr>
          <w:rFonts w:ascii="Times New Roman" w:eastAsia="Times New Roman" w:hAnsi="Times New Roman" w:cs="Times New Roman"/>
          <w:sz w:val="24"/>
        </w:rPr>
        <w:t xml:space="preserve"> in Uganda revealed that participants were uneducated and unaware of their SRHR and felt that education and training would greatly aid them (McGranahan et al., 2021). </w:t>
      </w:r>
    </w:p>
    <w:p w:rsidR="00410213" w:rsidRDefault="00D877C6">
      <w:pPr>
        <w:spacing w:after="157" w:line="361" w:lineRule="auto"/>
        <w:ind w:left="-5" w:right="405" w:hanging="10"/>
        <w:jc w:val="both"/>
      </w:pPr>
      <w:r>
        <w:rPr>
          <w:rFonts w:ascii="Times New Roman" w:eastAsia="Times New Roman" w:hAnsi="Times New Roman" w:cs="Times New Roman"/>
          <w:sz w:val="24"/>
        </w:rPr>
        <w:t xml:space="preserve"> A study in Mbouda, Cameroon and reported by Nansseu et al, identified that one of the m</w:t>
      </w:r>
      <w:r>
        <w:rPr>
          <w:rFonts w:ascii="Times New Roman" w:eastAsia="Times New Roman" w:hAnsi="Times New Roman" w:cs="Times New Roman"/>
          <w:sz w:val="24"/>
        </w:rPr>
        <w:t>ain reasons preventing women from upholding and practising some of their SRHR, such as contraception, was lack of knowledge (31.4%), with 42.4% of these women expressing the willingness to start using contraception if they received more information about t</w:t>
      </w:r>
      <w:r>
        <w:rPr>
          <w:rFonts w:ascii="Times New Roman" w:eastAsia="Times New Roman" w:hAnsi="Times New Roman" w:cs="Times New Roman"/>
          <w:sz w:val="24"/>
        </w:rPr>
        <w:t xml:space="preserve">he subject (Nansseu et al., 2015).  </w:t>
      </w:r>
    </w:p>
    <w:p w:rsidR="00410213" w:rsidRDefault="00D877C6">
      <w:pPr>
        <w:spacing w:after="154" w:line="363" w:lineRule="auto"/>
        <w:ind w:left="-5" w:right="413" w:hanging="10"/>
      </w:pPr>
      <w:r>
        <w:rPr>
          <w:rFonts w:ascii="Times New Roman" w:eastAsia="Times New Roman" w:hAnsi="Times New Roman" w:cs="Times New Roman"/>
          <w:sz w:val="24"/>
        </w:rPr>
        <w:t xml:space="preserve">Thus, educating women and girls in conflict-affected settings on GBV and their SRHR, as in the case of the targeted conflict-affected Fako Division, improved their awareness on SRHR and GBV. </w:t>
      </w:r>
    </w:p>
    <w:p w:rsidR="00410213" w:rsidRDefault="00D877C6">
      <w:pPr>
        <w:spacing w:after="157" w:line="361" w:lineRule="auto"/>
        <w:ind w:left="-5" w:right="405" w:hanging="10"/>
        <w:jc w:val="both"/>
      </w:pPr>
      <w:r>
        <w:rPr>
          <w:rFonts w:ascii="Times New Roman" w:eastAsia="Times New Roman" w:hAnsi="Times New Roman" w:cs="Times New Roman"/>
          <w:sz w:val="24"/>
        </w:rPr>
        <w:lastRenderedPageBreak/>
        <w:t xml:space="preserve">From previous experiences, </w:t>
      </w:r>
      <w:r>
        <w:rPr>
          <w:rFonts w:ascii="Times New Roman" w:eastAsia="Times New Roman" w:hAnsi="Times New Roman" w:cs="Times New Roman"/>
          <w:sz w:val="24"/>
        </w:rPr>
        <w:t>the Mile-16 community (one of the hardest hit conflict-affected communities of Fako Division) is known for violent extremism, inaccessibility and continuous violation of women and girls’ SRHR and gender-based violence. An assessment of recruited volunteers</w:t>
      </w:r>
      <w:r>
        <w:rPr>
          <w:rFonts w:ascii="Times New Roman" w:eastAsia="Times New Roman" w:hAnsi="Times New Roman" w:cs="Times New Roman"/>
          <w:sz w:val="24"/>
        </w:rPr>
        <w:t xml:space="preserve"> from this community, by the peace fellows through a one-to-one in-depth interview indicated that; </w:t>
      </w:r>
    </w:p>
    <w:p w:rsidR="00410213" w:rsidRDefault="00D877C6">
      <w:pPr>
        <w:numPr>
          <w:ilvl w:val="0"/>
          <w:numId w:val="1"/>
        </w:numPr>
        <w:spacing w:after="92"/>
        <w:ind w:right="413" w:hanging="360"/>
      </w:pPr>
      <w:r>
        <w:rPr>
          <w:rFonts w:ascii="Times New Roman" w:eastAsia="Times New Roman" w:hAnsi="Times New Roman" w:cs="Times New Roman"/>
          <w:sz w:val="24"/>
        </w:rPr>
        <w:t xml:space="preserve">Sexual health violations included rape, physical and psychological abuse. </w:t>
      </w:r>
    </w:p>
    <w:p w:rsidR="00410213" w:rsidRDefault="00D877C6">
      <w:pPr>
        <w:numPr>
          <w:ilvl w:val="0"/>
          <w:numId w:val="1"/>
        </w:numPr>
        <w:spacing w:after="92"/>
        <w:ind w:right="413" w:hanging="360"/>
      </w:pPr>
      <w:r>
        <w:rPr>
          <w:rFonts w:ascii="Times New Roman" w:eastAsia="Times New Roman" w:hAnsi="Times New Roman" w:cs="Times New Roman"/>
          <w:sz w:val="24"/>
        </w:rPr>
        <w:t xml:space="preserve">Sexual rights violations included forced marriages. </w:t>
      </w:r>
    </w:p>
    <w:p w:rsidR="00410213" w:rsidRDefault="00D877C6">
      <w:pPr>
        <w:numPr>
          <w:ilvl w:val="0"/>
          <w:numId w:val="1"/>
        </w:numPr>
        <w:spacing w:after="90"/>
        <w:ind w:right="413" w:hanging="360"/>
      </w:pPr>
      <w:r>
        <w:rPr>
          <w:rFonts w:ascii="Times New Roman" w:eastAsia="Times New Roman" w:hAnsi="Times New Roman" w:cs="Times New Roman"/>
          <w:sz w:val="24"/>
        </w:rPr>
        <w:t xml:space="preserve">Reproductive health violations included limited access to quality healthcare. </w:t>
      </w:r>
    </w:p>
    <w:p w:rsidR="00410213" w:rsidRDefault="00D877C6">
      <w:pPr>
        <w:numPr>
          <w:ilvl w:val="0"/>
          <w:numId w:val="1"/>
        </w:numPr>
        <w:spacing w:after="154" w:line="363" w:lineRule="auto"/>
        <w:ind w:right="413" w:hanging="360"/>
      </w:pPr>
      <w:r>
        <w:rPr>
          <w:rFonts w:ascii="Times New Roman" w:eastAsia="Times New Roman" w:hAnsi="Times New Roman" w:cs="Times New Roman"/>
          <w:sz w:val="24"/>
        </w:rPr>
        <w:t xml:space="preserve">Reproductive rights violations included lack of access to family planning and little or no childbearing rights. </w:t>
      </w:r>
    </w:p>
    <w:p w:rsidR="00410213" w:rsidRDefault="00D877C6">
      <w:pPr>
        <w:spacing w:after="157" w:line="361" w:lineRule="auto"/>
        <w:ind w:left="-5" w:right="405" w:hanging="10"/>
        <w:jc w:val="both"/>
      </w:pPr>
      <w:r>
        <w:rPr>
          <w:rFonts w:ascii="Times New Roman" w:eastAsia="Times New Roman" w:hAnsi="Times New Roman" w:cs="Times New Roman"/>
          <w:sz w:val="24"/>
        </w:rPr>
        <w:t>Compared to the situation before (2016), community volunteers an</w:t>
      </w:r>
      <w:r>
        <w:rPr>
          <w:rFonts w:ascii="Times New Roman" w:eastAsia="Times New Roman" w:hAnsi="Times New Roman" w:cs="Times New Roman"/>
          <w:sz w:val="24"/>
        </w:rPr>
        <w:t>d young girls reported to the peace fellow and community focal points respectively issues such as gender-based violence in the context of physical and sexual violence among intimate and non-intimate partners who are mostly exploited through sexual exploita</w:t>
      </w:r>
      <w:r>
        <w:rPr>
          <w:rFonts w:ascii="Times New Roman" w:eastAsia="Times New Roman" w:hAnsi="Times New Roman" w:cs="Times New Roman"/>
          <w:sz w:val="24"/>
        </w:rPr>
        <w:t xml:space="preserve">tion in the context of exchange for sex, aggravated during the ongoing conflict-related crisis. Issues such as abuse of power, cultural standards, current armed conflict, and COVID-19 exacerbated the situation in the Mile-16 community. </w:t>
      </w:r>
    </w:p>
    <w:p w:rsidR="00410213" w:rsidRDefault="00D877C6">
      <w:pPr>
        <w:spacing w:after="157" w:line="361" w:lineRule="auto"/>
        <w:ind w:left="-5" w:right="405" w:hanging="10"/>
        <w:jc w:val="both"/>
      </w:pPr>
      <w:r>
        <w:rPr>
          <w:rFonts w:ascii="Times New Roman" w:eastAsia="Times New Roman" w:hAnsi="Times New Roman" w:cs="Times New Roman"/>
          <w:sz w:val="24"/>
        </w:rPr>
        <w:t>Based on the perspe</w:t>
      </w:r>
      <w:r>
        <w:rPr>
          <w:rFonts w:ascii="Times New Roman" w:eastAsia="Times New Roman" w:hAnsi="Times New Roman" w:cs="Times New Roman"/>
          <w:sz w:val="24"/>
        </w:rPr>
        <w:t>ctive of the community volunteers living in Fako Division and supporting the SCI project, the Mile-16 community is hardest hit and not accessible by humanitarian entities. Therefore, it was essential to target and prioritize this community, and work alongs</w:t>
      </w:r>
      <w:r>
        <w:rPr>
          <w:rFonts w:ascii="Times New Roman" w:eastAsia="Times New Roman" w:hAnsi="Times New Roman" w:cs="Times New Roman"/>
          <w:sz w:val="24"/>
        </w:rPr>
        <w:t xml:space="preserve">ide community leaders in fostering sustainable change. As a result, the focus of this SCI, was on SRHR and GBV, at the Mile-16 community, and geared towards improving their awareness amongst women and girls through mass community sensitization at churches </w:t>
      </w:r>
      <w:r>
        <w:rPr>
          <w:rFonts w:ascii="Times New Roman" w:eastAsia="Times New Roman" w:hAnsi="Times New Roman" w:cs="Times New Roman"/>
          <w:sz w:val="24"/>
        </w:rPr>
        <w:t>and media most utilized by community members, engagements with community leaders and focus group discussions with young men and women on SRHR and GBV, existing laws and community support structures and how community leaders can champion women’s SRHR and GB</w:t>
      </w:r>
      <w:r>
        <w:rPr>
          <w:rFonts w:ascii="Times New Roman" w:eastAsia="Times New Roman" w:hAnsi="Times New Roman" w:cs="Times New Roman"/>
          <w:sz w:val="24"/>
        </w:rPr>
        <w:t xml:space="preserve">V.  </w:t>
      </w:r>
    </w:p>
    <w:p w:rsidR="00410213" w:rsidRDefault="00D877C6">
      <w:pPr>
        <w:spacing w:after="250" w:line="361" w:lineRule="auto"/>
        <w:ind w:left="-5" w:right="405" w:hanging="10"/>
        <w:jc w:val="both"/>
      </w:pPr>
      <w:r>
        <w:rPr>
          <w:rFonts w:ascii="Times New Roman" w:eastAsia="Times New Roman" w:hAnsi="Times New Roman" w:cs="Times New Roman"/>
          <w:sz w:val="24"/>
        </w:rPr>
        <w:t>This project therefore contributes to peacebuilding by addressing conflict drivers of inequitable access to services and community engagement through awareness raising at churches, media and women/community leaders’ social groups, offers platforms for</w:t>
      </w:r>
      <w:r>
        <w:rPr>
          <w:rFonts w:ascii="Times New Roman" w:eastAsia="Times New Roman" w:hAnsi="Times New Roman" w:cs="Times New Roman"/>
          <w:sz w:val="24"/>
        </w:rPr>
        <w:t xml:space="preserve"> integrating peacebuilding and social cohesion components, and supports educational, livelihood and economic potential of young girls. The SCI project also supports access to justice for victims of sexual violence, including through participation in transi</w:t>
      </w:r>
      <w:r>
        <w:rPr>
          <w:rFonts w:ascii="Times New Roman" w:eastAsia="Times New Roman" w:hAnsi="Times New Roman" w:cs="Times New Roman"/>
          <w:sz w:val="24"/>
        </w:rPr>
        <w:t xml:space="preserve">tional justice and peace processes, addresses conflict factor of perceived injustice and improves access to justice, increases awareness of sexual and gender-based violence </w:t>
      </w:r>
      <w:r>
        <w:rPr>
          <w:rFonts w:ascii="Times New Roman" w:eastAsia="Times New Roman" w:hAnsi="Times New Roman" w:cs="Times New Roman"/>
          <w:sz w:val="24"/>
        </w:rPr>
        <w:lastRenderedPageBreak/>
        <w:t>as part of the foundation for reconciliation, enhances recovery and well-being of v</w:t>
      </w:r>
      <w:r>
        <w:rPr>
          <w:rFonts w:ascii="Times New Roman" w:eastAsia="Times New Roman" w:hAnsi="Times New Roman" w:cs="Times New Roman"/>
          <w:sz w:val="24"/>
        </w:rPr>
        <w:t>ictims of violence, and increases community social cohesion and resilience. Fako Division being one of the six divisions of the Southwest region of Cameroon, with Mile 16 community as one of the severely conflict-hit localities in the Fako Division benefit</w:t>
      </w:r>
      <w:r>
        <w:rPr>
          <w:rFonts w:ascii="Times New Roman" w:eastAsia="Times New Roman" w:hAnsi="Times New Roman" w:cs="Times New Roman"/>
          <w:sz w:val="24"/>
        </w:rPr>
        <w:t xml:space="preserve">ted in enhanced peacebuilding through SRHR and GBV awareness raising from this SCI project.  </w:t>
      </w:r>
    </w:p>
    <w:p w:rsidR="00410213" w:rsidRDefault="00D877C6">
      <w:pPr>
        <w:pStyle w:val="Heading1"/>
        <w:ind w:left="355" w:right="0"/>
      </w:pPr>
      <w:bookmarkStart w:id="4" w:name="_Toc30300"/>
      <w:r>
        <w:t>2.</w:t>
      </w:r>
      <w:r>
        <w:rPr>
          <w:rFonts w:ascii="Arial" w:eastAsia="Arial" w:hAnsi="Arial" w:cs="Arial"/>
        </w:rPr>
        <w:t xml:space="preserve"> </w:t>
      </w:r>
      <w:r>
        <w:t xml:space="preserve">PROBLEM STATEMENT </w:t>
      </w:r>
      <w:bookmarkEnd w:id="4"/>
    </w:p>
    <w:p w:rsidR="00410213" w:rsidRDefault="00D877C6">
      <w:pPr>
        <w:spacing w:after="157" w:line="361" w:lineRule="auto"/>
        <w:ind w:left="-5" w:right="405" w:hanging="10"/>
        <w:jc w:val="both"/>
      </w:pPr>
      <w:r>
        <w:rPr>
          <w:rFonts w:ascii="Times New Roman" w:eastAsia="Times New Roman" w:hAnsi="Times New Roman" w:cs="Times New Roman"/>
          <w:sz w:val="24"/>
        </w:rPr>
        <w:t>At least 1 in 3 women globally and over 60% of the women and girls in Cameroon go through some form of violence and SRHR violation. The Sout</w:t>
      </w:r>
      <w:r>
        <w:rPr>
          <w:rFonts w:ascii="Times New Roman" w:eastAsia="Times New Roman" w:hAnsi="Times New Roman" w:cs="Times New Roman"/>
          <w:sz w:val="24"/>
        </w:rPr>
        <w:t>hwest Region of Cameroon, with a population of 1,515,888, 60% aged 15 years and above (BUCREP, 2014), has been grossly affected by the ongoing armed conflict since 2016, hosts over 300, 000 internally displaced persons (IDPs) and has been hit with less tha</w:t>
      </w:r>
      <w:r>
        <w:rPr>
          <w:rFonts w:ascii="Times New Roman" w:eastAsia="Times New Roman" w:hAnsi="Times New Roman" w:cs="Times New Roman"/>
          <w:sz w:val="24"/>
        </w:rPr>
        <w:t>n 50% of health facilities being functional, increase violence on women and girls and SRHR violations whereby only 6% of women give birth at the hospital in 2018, as compared to 93% before the crisis (International Medical Corps, 2018). With its devastatin</w:t>
      </w:r>
      <w:r>
        <w:rPr>
          <w:rFonts w:ascii="Times New Roman" w:eastAsia="Times New Roman" w:hAnsi="Times New Roman" w:cs="Times New Roman"/>
          <w:sz w:val="24"/>
        </w:rPr>
        <w:t xml:space="preserve">g effects, over 80% of women and girls in the conflict-affected setting of Fako Division, with a population of about 600,000 persons, go through some form of violence and SRHR violation (International Medical Corps, 2018).  </w:t>
      </w:r>
    </w:p>
    <w:p w:rsidR="00410213" w:rsidRDefault="00D877C6">
      <w:pPr>
        <w:spacing w:after="157" w:line="361" w:lineRule="auto"/>
        <w:ind w:left="-5" w:right="405" w:hanging="10"/>
        <w:jc w:val="both"/>
      </w:pPr>
      <w:r>
        <w:rPr>
          <w:rFonts w:ascii="Times New Roman" w:eastAsia="Times New Roman" w:hAnsi="Times New Roman" w:cs="Times New Roman"/>
          <w:sz w:val="24"/>
        </w:rPr>
        <w:t>Several studies have proven tha</w:t>
      </w:r>
      <w:r>
        <w:rPr>
          <w:rFonts w:ascii="Times New Roman" w:eastAsia="Times New Roman" w:hAnsi="Times New Roman" w:cs="Times New Roman"/>
          <w:sz w:val="24"/>
        </w:rPr>
        <w:t>t while SRHR violation and GBV worsen in conflict settings, a key reason for this worsened outcome has been poor awareness of women and girls on GBV and their SRHR. In the conflict-affected Mile-16 community, social and cultural norms, displacement, freque</w:t>
      </w:r>
      <w:r>
        <w:rPr>
          <w:rFonts w:ascii="Times New Roman" w:eastAsia="Times New Roman" w:hAnsi="Times New Roman" w:cs="Times New Roman"/>
          <w:sz w:val="24"/>
        </w:rPr>
        <w:t xml:space="preserve">nt armed exchanges, poor education, and loss of jobs make the community hardest hit.  </w:t>
      </w:r>
    </w:p>
    <w:p w:rsidR="00410213" w:rsidRDefault="00D877C6">
      <w:pPr>
        <w:spacing w:after="180" w:line="361" w:lineRule="auto"/>
        <w:ind w:left="-5" w:right="405" w:hanging="10"/>
        <w:jc w:val="both"/>
      </w:pPr>
      <w:r>
        <w:rPr>
          <w:rFonts w:ascii="Times New Roman" w:eastAsia="Times New Roman" w:hAnsi="Times New Roman" w:cs="Times New Roman"/>
          <w:sz w:val="24"/>
        </w:rPr>
        <w:t>As a result, women and girls have been unable to claim their rights or seek support as victims from community supportive structures resulting in continuous unplanned pre</w:t>
      </w:r>
      <w:r>
        <w:rPr>
          <w:rFonts w:ascii="Times New Roman" w:eastAsia="Times New Roman" w:hAnsi="Times New Roman" w:cs="Times New Roman"/>
          <w:sz w:val="24"/>
        </w:rPr>
        <w:t xml:space="preserve">gnancies, STIs and sexual exploitation, especially in the context of exchange for sex.  </w:t>
      </w:r>
    </w:p>
    <w:p w:rsidR="00410213" w:rsidRDefault="00D877C6">
      <w:pPr>
        <w:spacing w:after="206" w:line="361" w:lineRule="auto"/>
        <w:ind w:left="-5" w:right="405" w:hanging="10"/>
        <w:jc w:val="both"/>
      </w:pPr>
      <w:r>
        <w:rPr>
          <w:rFonts w:ascii="Times New Roman" w:eastAsia="Times New Roman" w:hAnsi="Times New Roman" w:cs="Times New Roman"/>
          <w:sz w:val="24"/>
        </w:rPr>
        <w:t>Therefore, there is a need to increase women's and girls’ awareness about GBV and their SRHR. This will consequently limit SRHR violation and GBV prevalence, foster aw</w:t>
      </w:r>
      <w:r>
        <w:rPr>
          <w:rFonts w:ascii="Times New Roman" w:eastAsia="Times New Roman" w:hAnsi="Times New Roman" w:cs="Times New Roman"/>
          <w:sz w:val="24"/>
        </w:rPr>
        <w:t>areness on GBV victim-support sites for full recovery, enable the creation of more support sites by community leaders, decrease sexually transmitted infections (STIs) and the number of young girls who drop out of school due to unplanned pregnancies associa</w:t>
      </w:r>
      <w:r>
        <w:rPr>
          <w:rFonts w:ascii="Times New Roman" w:eastAsia="Times New Roman" w:hAnsi="Times New Roman" w:cs="Times New Roman"/>
          <w:sz w:val="24"/>
        </w:rPr>
        <w:t xml:space="preserve">ted with sexual exploitation in the context of exchange for sex. Thus, fostering goal 3 of the sustainable development goals: good health and wellbeing. It does not flow. </w:t>
      </w:r>
    </w:p>
    <w:p w:rsidR="00410213" w:rsidRDefault="00D877C6">
      <w:pPr>
        <w:spacing w:after="239" w:line="361" w:lineRule="auto"/>
        <w:ind w:left="-5" w:right="405" w:hanging="10"/>
        <w:jc w:val="both"/>
      </w:pPr>
      <w:r>
        <w:rPr>
          <w:rFonts w:ascii="Times New Roman" w:eastAsia="Times New Roman" w:hAnsi="Times New Roman" w:cs="Times New Roman"/>
          <w:sz w:val="24"/>
        </w:rPr>
        <w:t xml:space="preserve">As crucial partners in economic recovery, social cohesion and political legitimacy, </w:t>
      </w:r>
      <w:r>
        <w:rPr>
          <w:rFonts w:ascii="Times New Roman" w:eastAsia="Times New Roman" w:hAnsi="Times New Roman" w:cs="Times New Roman"/>
          <w:sz w:val="24"/>
        </w:rPr>
        <w:t xml:space="preserve">women’s enhanced SRHR/GBV awareness, safety, and prospective active participation in community </w:t>
      </w:r>
      <w:r>
        <w:rPr>
          <w:rFonts w:ascii="Times New Roman" w:eastAsia="Times New Roman" w:hAnsi="Times New Roman" w:cs="Times New Roman"/>
          <w:sz w:val="24"/>
        </w:rPr>
        <w:lastRenderedPageBreak/>
        <w:t>awareness, resilience, and mediation processes will ensure more inclusive and diversified community members’ engagement in the peace process and end prevailing n</w:t>
      </w:r>
      <w:r>
        <w:rPr>
          <w:rFonts w:ascii="Times New Roman" w:eastAsia="Times New Roman" w:hAnsi="Times New Roman" w:cs="Times New Roman"/>
          <w:sz w:val="24"/>
        </w:rPr>
        <w:t xml:space="preserve">egative vices on women, girls, children and other vulnerable groups. Too long a sentence; break it down for clarity.  </w:t>
      </w:r>
    </w:p>
    <w:p w:rsidR="00410213" w:rsidRDefault="00D877C6">
      <w:pPr>
        <w:pStyle w:val="Heading1"/>
        <w:spacing w:after="155"/>
        <w:ind w:left="355" w:right="0"/>
      </w:pPr>
      <w:bookmarkStart w:id="5" w:name="_Toc30301"/>
      <w:r>
        <w:t>3.</w:t>
      </w:r>
      <w:r>
        <w:rPr>
          <w:rFonts w:ascii="Arial" w:eastAsia="Arial" w:hAnsi="Arial" w:cs="Arial"/>
        </w:rPr>
        <w:t xml:space="preserve"> </w:t>
      </w:r>
      <w:r>
        <w:t xml:space="preserve">GOAL AND OBJECTIVES </w:t>
      </w:r>
      <w:bookmarkEnd w:id="5"/>
    </w:p>
    <w:p w:rsidR="00410213" w:rsidRDefault="00D877C6">
      <w:pPr>
        <w:pStyle w:val="Heading3"/>
        <w:ind w:left="355" w:right="0"/>
      </w:pPr>
      <w:bookmarkStart w:id="6" w:name="_Toc30302"/>
      <w:r>
        <w:t xml:space="preserve">3.1. Goal </w:t>
      </w:r>
      <w:bookmarkEnd w:id="6"/>
    </w:p>
    <w:p w:rsidR="00410213" w:rsidRDefault="00D877C6">
      <w:pPr>
        <w:spacing w:after="154" w:line="363" w:lineRule="auto"/>
        <w:ind w:left="-5" w:right="413" w:hanging="10"/>
      </w:pPr>
      <w:r>
        <w:rPr>
          <w:rFonts w:ascii="Times New Roman" w:eastAsia="Times New Roman" w:hAnsi="Times New Roman" w:cs="Times New Roman"/>
          <w:sz w:val="24"/>
        </w:rPr>
        <w:t>To improve the awareness of sexual and reproductive health and rights (SRHR) and gender-</w:t>
      </w:r>
      <w:r>
        <w:rPr>
          <w:rFonts w:ascii="Times New Roman" w:eastAsia="Times New Roman" w:hAnsi="Times New Roman" w:cs="Times New Roman"/>
          <w:sz w:val="24"/>
        </w:rPr>
        <w:t xml:space="preserve">based Violence (GBV) among conflict-affected girls and women in Fako Division, Southwest Region, Cameroon.  </w:t>
      </w:r>
    </w:p>
    <w:p w:rsidR="00410213" w:rsidRDefault="00D877C6">
      <w:pPr>
        <w:pStyle w:val="Heading3"/>
        <w:ind w:left="355" w:right="0"/>
      </w:pPr>
      <w:bookmarkStart w:id="7" w:name="_Toc30303"/>
      <w:r>
        <w:t xml:space="preserve">3.2. Objectives </w:t>
      </w:r>
      <w:bookmarkEnd w:id="7"/>
    </w:p>
    <w:p w:rsidR="00410213" w:rsidRDefault="00D877C6">
      <w:pPr>
        <w:numPr>
          <w:ilvl w:val="0"/>
          <w:numId w:val="2"/>
        </w:numPr>
        <w:spacing w:after="42" w:line="363" w:lineRule="auto"/>
        <w:ind w:right="413" w:hanging="360"/>
      </w:pPr>
      <w:r>
        <w:rPr>
          <w:rFonts w:ascii="Times New Roman" w:eastAsia="Times New Roman" w:hAnsi="Times New Roman" w:cs="Times New Roman"/>
          <w:sz w:val="24"/>
        </w:rPr>
        <w:t>To enhance awareness among conflict-affected women and girls on gender-based violence and sexual and reproductive health and right</w:t>
      </w:r>
      <w:r>
        <w:rPr>
          <w:rFonts w:ascii="Times New Roman" w:eastAsia="Times New Roman" w:hAnsi="Times New Roman" w:cs="Times New Roman"/>
          <w:sz w:val="24"/>
        </w:rPr>
        <w:t xml:space="preserve">s </w:t>
      </w:r>
    </w:p>
    <w:p w:rsidR="00410213" w:rsidRDefault="00D877C6">
      <w:pPr>
        <w:numPr>
          <w:ilvl w:val="0"/>
          <w:numId w:val="2"/>
        </w:numPr>
        <w:spacing w:after="119"/>
        <w:ind w:right="413" w:hanging="360"/>
      </w:pPr>
      <w:r>
        <w:rPr>
          <w:rFonts w:ascii="Times New Roman" w:eastAsia="Times New Roman" w:hAnsi="Times New Roman" w:cs="Times New Roman"/>
          <w:sz w:val="24"/>
        </w:rPr>
        <w:t xml:space="preserve">To incorporate community leaders as champions of GBV and women’s SRHR </w:t>
      </w:r>
    </w:p>
    <w:p w:rsidR="00410213" w:rsidRDefault="00D877C6">
      <w:pPr>
        <w:numPr>
          <w:ilvl w:val="0"/>
          <w:numId w:val="2"/>
        </w:numPr>
        <w:spacing w:after="239" w:line="363" w:lineRule="auto"/>
        <w:ind w:right="413" w:hanging="360"/>
      </w:pPr>
      <w:r>
        <w:rPr>
          <w:rFonts w:ascii="Times New Roman" w:eastAsia="Times New Roman" w:hAnsi="Times New Roman" w:cs="Times New Roman"/>
          <w:sz w:val="24"/>
        </w:rPr>
        <w:t xml:space="preserve">To enhance community awareness (men inclusive) of gender-based violence and sexual and reproductive health and rights. </w:t>
      </w:r>
    </w:p>
    <w:p w:rsidR="00410213" w:rsidRDefault="00D877C6">
      <w:pPr>
        <w:pStyle w:val="Heading1"/>
        <w:ind w:left="355" w:right="0"/>
      </w:pPr>
      <w:bookmarkStart w:id="8" w:name="_Toc30304"/>
      <w:r>
        <w:t>4.</w:t>
      </w:r>
      <w:r>
        <w:rPr>
          <w:rFonts w:ascii="Arial" w:eastAsia="Arial" w:hAnsi="Arial" w:cs="Arial"/>
        </w:rPr>
        <w:t xml:space="preserve"> </w:t>
      </w:r>
      <w:r>
        <w:t xml:space="preserve">CHALLENGES AND MITIGATION STRATEGIES </w:t>
      </w:r>
      <w:bookmarkEnd w:id="8"/>
    </w:p>
    <w:p w:rsidR="00410213" w:rsidRDefault="00D877C6">
      <w:pPr>
        <w:numPr>
          <w:ilvl w:val="0"/>
          <w:numId w:val="3"/>
        </w:numPr>
        <w:spacing w:after="0" w:line="363" w:lineRule="auto"/>
        <w:ind w:right="413" w:hanging="619"/>
      </w:pPr>
      <w:r>
        <w:rPr>
          <w:rFonts w:ascii="Times New Roman" w:eastAsia="Times New Roman" w:hAnsi="Times New Roman" w:cs="Times New Roman"/>
          <w:sz w:val="24"/>
        </w:rPr>
        <w:t>Insecurity and Inacce</w:t>
      </w:r>
      <w:r>
        <w:rPr>
          <w:rFonts w:ascii="Times New Roman" w:eastAsia="Times New Roman" w:hAnsi="Times New Roman" w:cs="Times New Roman"/>
          <w:sz w:val="24"/>
        </w:rPr>
        <w:t xml:space="preserve">ssibility: As one of the hardest-hit communities of the ongoing conflict, continuous gunshots, road blockages, and limited community trust posed challenges at the beginning of the SCI. As a result, two paid community volunteers who were experts in GBV and </w:t>
      </w:r>
      <w:r>
        <w:rPr>
          <w:rFonts w:ascii="Times New Roman" w:eastAsia="Times New Roman" w:hAnsi="Times New Roman" w:cs="Times New Roman"/>
          <w:sz w:val="24"/>
        </w:rPr>
        <w:t>SRHR and familiarised with the community from previous non-government organisations (NGO) humanitarian projects on SRHR and GBV were recruited to facilitate community campaign and media sessions in hard-to-reach areas of the Mile 16 community, and Fako Div</w:t>
      </w:r>
      <w:r>
        <w:rPr>
          <w:rFonts w:ascii="Times New Roman" w:eastAsia="Times New Roman" w:hAnsi="Times New Roman" w:cs="Times New Roman"/>
          <w:sz w:val="24"/>
        </w:rPr>
        <w:t xml:space="preserve">ision in general. In addition, two community mobilisers/focal points who resided in the community and could foster trust and rally targeted groups for the SCI were recruited as points of entry to the community. </w:t>
      </w:r>
    </w:p>
    <w:p w:rsidR="00410213" w:rsidRDefault="00D877C6">
      <w:pPr>
        <w:numPr>
          <w:ilvl w:val="0"/>
          <w:numId w:val="3"/>
        </w:numPr>
        <w:spacing w:after="154" w:line="363" w:lineRule="auto"/>
        <w:ind w:right="413" w:hanging="619"/>
      </w:pPr>
      <w:r>
        <w:rPr>
          <w:rFonts w:ascii="Times New Roman" w:eastAsia="Times New Roman" w:hAnsi="Times New Roman" w:cs="Times New Roman"/>
          <w:sz w:val="24"/>
        </w:rPr>
        <w:t>Financial Challenges: the project was self-f</w:t>
      </w:r>
      <w:r>
        <w:rPr>
          <w:rFonts w:ascii="Times New Roman" w:eastAsia="Times New Roman" w:hAnsi="Times New Roman" w:cs="Times New Roman"/>
          <w:sz w:val="24"/>
        </w:rPr>
        <w:t xml:space="preserve">unded and entailed out-of-pocket payment of volunteers and mobilisers for the duration of the SCI. This included stipends, transportation, feeding etc. In addition, radio stations, TV stations (CM </w:t>
      </w:r>
    </w:p>
    <w:p w:rsidR="00410213" w:rsidRDefault="00D877C6">
      <w:pPr>
        <w:spacing w:after="0" w:line="363" w:lineRule="auto"/>
        <w:ind w:left="1450" w:right="413" w:hanging="10"/>
      </w:pPr>
      <w:r>
        <w:rPr>
          <w:rFonts w:ascii="Times New Roman" w:eastAsia="Times New Roman" w:hAnsi="Times New Roman" w:cs="Times New Roman"/>
          <w:sz w:val="24"/>
        </w:rPr>
        <w:t>TV, LDTV, Prime TV) community groups, women leaders groups</w:t>
      </w:r>
      <w:r>
        <w:rPr>
          <w:rFonts w:ascii="Times New Roman" w:eastAsia="Times New Roman" w:hAnsi="Times New Roman" w:cs="Times New Roman"/>
          <w:sz w:val="24"/>
        </w:rPr>
        <w:t xml:space="preserve">, and community heads like the chiefs, teachers, council members etc, requested payments before any form of engagements through their platforms could be conducted, including participation were made available. Participants who were being educated on SRHR </w:t>
      </w:r>
      <w:r>
        <w:rPr>
          <w:rFonts w:ascii="Times New Roman" w:eastAsia="Times New Roman" w:hAnsi="Times New Roman" w:cs="Times New Roman"/>
          <w:sz w:val="24"/>
        </w:rPr>
        <w:lastRenderedPageBreak/>
        <w:t>an</w:t>
      </w:r>
      <w:r>
        <w:rPr>
          <w:rFonts w:ascii="Times New Roman" w:eastAsia="Times New Roman" w:hAnsi="Times New Roman" w:cs="Times New Roman"/>
          <w:sz w:val="24"/>
        </w:rPr>
        <w:t>d GBV also requested transport and feeding to receive any intervention from the SCI. Furthermore, visibility materials such as banners had to be printed. As a result, cost-effective radio stations (such as Bonakanda community radio) in more remote settings</w:t>
      </w:r>
      <w:r>
        <w:rPr>
          <w:rFonts w:ascii="Times New Roman" w:eastAsia="Times New Roman" w:hAnsi="Times New Roman" w:cs="Times New Roman"/>
          <w:sz w:val="24"/>
        </w:rPr>
        <w:t xml:space="preserve"> of the community, which was quite insecure, were utilized. The lack of funding equally emanated from delay from the prospective partner international organisation whose representative that had approved the partnership, travelled for an eight months intern</w:t>
      </w:r>
      <w:r>
        <w:rPr>
          <w:rFonts w:ascii="Times New Roman" w:eastAsia="Times New Roman" w:hAnsi="Times New Roman" w:cs="Times New Roman"/>
          <w:sz w:val="24"/>
        </w:rPr>
        <w:t xml:space="preserve">ational mission before an official documented agreement and did not return to release the funds or assign a representative prior to implementation as promised.  </w:t>
      </w:r>
    </w:p>
    <w:p w:rsidR="00410213" w:rsidRDefault="00D877C6">
      <w:pPr>
        <w:numPr>
          <w:ilvl w:val="0"/>
          <w:numId w:val="3"/>
        </w:numPr>
        <w:spacing w:after="121"/>
        <w:ind w:right="413" w:hanging="619"/>
      </w:pPr>
      <w:r>
        <w:rPr>
          <w:rFonts w:ascii="Times New Roman" w:eastAsia="Times New Roman" w:hAnsi="Times New Roman" w:cs="Times New Roman"/>
          <w:sz w:val="24"/>
        </w:rPr>
        <w:t xml:space="preserve">Delays: Due to lockdowns, such as every Mondays (a mandatory strategy since </w:t>
      </w:r>
    </w:p>
    <w:p w:rsidR="00410213" w:rsidRDefault="00D877C6">
      <w:pPr>
        <w:spacing w:after="154" w:line="363" w:lineRule="auto"/>
        <w:ind w:left="1450" w:right="413" w:hanging="10"/>
      </w:pPr>
      <w:r>
        <w:rPr>
          <w:rFonts w:ascii="Times New Roman" w:eastAsia="Times New Roman" w:hAnsi="Times New Roman" w:cs="Times New Roman"/>
          <w:sz w:val="24"/>
        </w:rPr>
        <w:t>2018 by the separatist arm of the ongoing conflict to portray the conflict’s severity and indigenes to showcase their solidarity for the conflict and lives lost), and rainy season, scheduled activities were postponed for safety and health reasons. In addit</w:t>
      </w:r>
      <w:r>
        <w:rPr>
          <w:rFonts w:ascii="Times New Roman" w:eastAsia="Times New Roman" w:hAnsi="Times New Roman" w:cs="Times New Roman"/>
          <w:sz w:val="24"/>
        </w:rPr>
        <w:t xml:space="preserve">ion, due to periodic rainy season flu and flooding, the peace fellow and volunteers fell sick periodically, for over two months, due to weather changes and early postpartum vulnerabilities.   </w:t>
      </w:r>
    </w:p>
    <w:p w:rsidR="00410213" w:rsidRDefault="00D877C6">
      <w:pPr>
        <w:spacing w:after="276"/>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4"/>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1"/>
        <w:ind w:right="417"/>
        <w:jc w:val="center"/>
      </w:pPr>
      <w:bookmarkStart w:id="9" w:name="_Toc30305"/>
      <w:r>
        <w:t xml:space="preserve">CHAPTER TWO </w:t>
      </w:r>
      <w:bookmarkEnd w:id="9"/>
    </w:p>
    <w:p w:rsidR="00410213" w:rsidRDefault="00D877C6">
      <w:pPr>
        <w:pStyle w:val="Heading1"/>
        <w:ind w:right="417"/>
        <w:jc w:val="center"/>
      </w:pPr>
      <w:bookmarkStart w:id="10" w:name="_Toc30306"/>
      <w:r>
        <w:t>1.</w:t>
      </w:r>
      <w:r>
        <w:rPr>
          <w:rFonts w:ascii="Arial" w:eastAsia="Arial" w:hAnsi="Arial" w:cs="Arial"/>
        </w:rPr>
        <w:t xml:space="preserve"> </w:t>
      </w:r>
      <w:r>
        <w:t xml:space="preserve">LITERATURE REVIEW </w:t>
      </w:r>
      <w:bookmarkEnd w:id="10"/>
    </w:p>
    <w:p w:rsidR="00410213" w:rsidRDefault="00D877C6">
      <w:pPr>
        <w:spacing w:after="157" w:line="361" w:lineRule="auto"/>
        <w:ind w:left="-5" w:right="405" w:hanging="10"/>
        <w:jc w:val="both"/>
      </w:pPr>
      <w:r>
        <w:rPr>
          <w:rFonts w:ascii="Times New Roman" w:eastAsia="Times New Roman" w:hAnsi="Times New Roman" w:cs="Times New Roman"/>
          <w:sz w:val="24"/>
        </w:rPr>
        <w:t>This chapter provides in-depth insights into sexual and reproductive health and rights (SRHR), and gender-based violence (GBV), from a global and country perspective, as well as theoretical underpinnings of SRHR and GBV. According to the United Nation’s Hu</w:t>
      </w:r>
      <w:r>
        <w:rPr>
          <w:rFonts w:ascii="Times New Roman" w:eastAsia="Times New Roman" w:hAnsi="Times New Roman" w:cs="Times New Roman"/>
          <w:sz w:val="24"/>
        </w:rPr>
        <w:t xml:space="preserve">man Rights Office of the High Commissioner (OHCHR), women’s sexual and reproductive health relates to multiple human rights, including the right to life, the right to be free from torture, the right to health, the right to </w:t>
      </w:r>
      <w:r>
        <w:rPr>
          <w:rFonts w:ascii="Times New Roman" w:eastAsia="Times New Roman" w:hAnsi="Times New Roman" w:cs="Times New Roman"/>
          <w:sz w:val="24"/>
        </w:rPr>
        <w:lastRenderedPageBreak/>
        <w:t xml:space="preserve">privacy, the right to education, </w:t>
      </w:r>
      <w:r>
        <w:rPr>
          <w:rFonts w:ascii="Times New Roman" w:eastAsia="Times New Roman" w:hAnsi="Times New Roman" w:cs="Times New Roman"/>
          <w:sz w:val="24"/>
        </w:rPr>
        <w:t>and the prohibition of discrimination (OHCHR, 2021).  The Swedish International Development Cooperation Agency (SIDA) defines SRHR as the physical, emotional, psychological and social wellbeing in relation to all aspects of sexuality and reproduction. In e</w:t>
      </w:r>
      <w:r>
        <w:rPr>
          <w:rFonts w:ascii="Times New Roman" w:eastAsia="Times New Roman" w:hAnsi="Times New Roman" w:cs="Times New Roman"/>
          <w:sz w:val="24"/>
        </w:rPr>
        <w:t xml:space="preserve">ssence, it refers to more than just the absence of disease, dysfunction, and injuries. It is very vital to note that everyone has the right to make decisions regarding their own body and to have access to healthcare and other health-promoting initiatives. </w:t>
      </w:r>
      <w:r>
        <w:rPr>
          <w:rFonts w:ascii="Times New Roman" w:eastAsia="Times New Roman" w:hAnsi="Times New Roman" w:cs="Times New Roman"/>
          <w:sz w:val="24"/>
        </w:rPr>
        <w:t xml:space="preserve"> </w:t>
      </w:r>
    </w:p>
    <w:p w:rsidR="00410213" w:rsidRDefault="00D877C6">
      <w:pPr>
        <w:spacing w:after="157" w:line="361" w:lineRule="auto"/>
        <w:ind w:left="-5" w:right="405" w:hanging="10"/>
        <w:jc w:val="both"/>
      </w:pPr>
      <w:r>
        <w:rPr>
          <w:rFonts w:ascii="Times New Roman" w:eastAsia="Times New Roman" w:hAnsi="Times New Roman" w:cs="Times New Roman"/>
          <w:sz w:val="24"/>
        </w:rPr>
        <w:t>SRHR involves four areas: sexual health, sexual rights, reproductive health, and reproductive rights (Global Citizen, 2021). Sexual health refers to physical, mental, and social well-being in terms of sexuality. This means safety from sexual illnesses an</w:t>
      </w:r>
      <w:r>
        <w:rPr>
          <w:rFonts w:ascii="Times New Roman" w:eastAsia="Times New Roman" w:hAnsi="Times New Roman" w:cs="Times New Roman"/>
          <w:sz w:val="24"/>
        </w:rPr>
        <w:t>d violence. Sexual rights refer to the ability to decide on your own about sexuality. It means expressing your sexuality by making your own decisions about partners, privacy, and pleasure. A typically issue for women is forced marriage, with 1 in 3 women b</w:t>
      </w:r>
      <w:r>
        <w:rPr>
          <w:rFonts w:ascii="Times New Roman" w:eastAsia="Times New Roman" w:hAnsi="Times New Roman" w:cs="Times New Roman"/>
          <w:sz w:val="24"/>
        </w:rPr>
        <w:t>elow 15, and 18 years of age, being forced into marriage, which violates their sexual rights. Assault, especially rape of young women, is particularly prominent in crisis and conflict settings, which in most cases, are forced to marry their assaulter, viol</w:t>
      </w:r>
      <w:r>
        <w:rPr>
          <w:rFonts w:ascii="Times New Roman" w:eastAsia="Times New Roman" w:hAnsi="Times New Roman" w:cs="Times New Roman"/>
          <w:sz w:val="24"/>
        </w:rPr>
        <w:t xml:space="preserve">ating the sexual rights of victims (Global Citizen, 2021). Reproductive health entails having a healthy reproductive system and healthy pregnancies through access to healthcare, medication, and education. In most poor communities and developing countries, </w:t>
      </w:r>
      <w:r>
        <w:rPr>
          <w:rFonts w:ascii="Times New Roman" w:eastAsia="Times New Roman" w:hAnsi="Times New Roman" w:cs="Times New Roman"/>
          <w:sz w:val="24"/>
        </w:rPr>
        <w:t>though particularly susceptible to reproductive illnesses, women do not have access to reproductive health care and end up with reproductive illnesses, such as obstetric fistula. In addition, a major concern of reproductive health is unsafe pregnancy due t</w:t>
      </w:r>
      <w:r>
        <w:rPr>
          <w:rFonts w:ascii="Times New Roman" w:eastAsia="Times New Roman" w:hAnsi="Times New Roman" w:cs="Times New Roman"/>
          <w:sz w:val="24"/>
        </w:rPr>
        <w:t xml:space="preserve">o lack of access to proper medical care, thus giving birth at home and resulting in pregnancy and childbirth as a leading cause of death for women, particularly girls aged 15-19 (Global Citizen, 2021). Reproductive rights entail the right to decide if and </w:t>
      </w:r>
      <w:r>
        <w:rPr>
          <w:rFonts w:ascii="Times New Roman" w:eastAsia="Times New Roman" w:hAnsi="Times New Roman" w:cs="Times New Roman"/>
          <w:sz w:val="24"/>
        </w:rPr>
        <w:t xml:space="preserve">when to have children. However, couples should be able to plan and make a well-informed decision about having children; that is not the case in most settings due to limited education and access to family planning tools. </w:t>
      </w:r>
    </w:p>
    <w:p w:rsidR="00410213" w:rsidRDefault="00D877C6">
      <w:pPr>
        <w:spacing w:after="196" w:line="361" w:lineRule="auto"/>
        <w:ind w:left="-5" w:right="405" w:hanging="10"/>
        <w:jc w:val="both"/>
      </w:pPr>
      <w:r>
        <w:rPr>
          <w:rFonts w:ascii="Times New Roman" w:eastAsia="Times New Roman" w:hAnsi="Times New Roman" w:cs="Times New Roman"/>
          <w:sz w:val="24"/>
        </w:rPr>
        <w:t>Emergency outcomes in conflicts, su</w:t>
      </w:r>
      <w:r>
        <w:rPr>
          <w:rFonts w:ascii="Times New Roman" w:eastAsia="Times New Roman" w:hAnsi="Times New Roman" w:cs="Times New Roman"/>
          <w:sz w:val="24"/>
        </w:rPr>
        <w:t>ch as lockdowns, and their social and economic impacts increase women’s exposure to abusive partners and known risk factors while limiting their access to services (WHO, 2021). During humanitarian crises and displacement in conflict settings, as in the cas</w:t>
      </w:r>
      <w:r>
        <w:rPr>
          <w:rFonts w:ascii="Times New Roman" w:eastAsia="Times New Roman" w:hAnsi="Times New Roman" w:cs="Times New Roman"/>
          <w:sz w:val="24"/>
        </w:rPr>
        <w:t xml:space="preserve">e of Southwestern Cameroon, these may exacerbate existing violence, such as by intimate partners, as well as non-partner sexual violence, and may also lead to new forms of violence against women (WHO, 2021). </w:t>
      </w:r>
    </w:p>
    <w:p w:rsidR="00410213" w:rsidRDefault="00D877C6">
      <w:pPr>
        <w:spacing w:after="157" w:line="361" w:lineRule="auto"/>
        <w:ind w:left="-5" w:right="405" w:hanging="10"/>
        <w:jc w:val="both"/>
      </w:pPr>
      <w:r>
        <w:rPr>
          <w:rFonts w:ascii="Times New Roman" w:eastAsia="Times New Roman" w:hAnsi="Times New Roman" w:cs="Times New Roman"/>
          <w:sz w:val="24"/>
        </w:rPr>
        <w:t>According to UNOCHA, the ongoing anglophone cri</w:t>
      </w:r>
      <w:r>
        <w:rPr>
          <w:rFonts w:ascii="Times New Roman" w:eastAsia="Times New Roman" w:hAnsi="Times New Roman" w:cs="Times New Roman"/>
          <w:sz w:val="24"/>
        </w:rPr>
        <w:t xml:space="preserve">sis in Cameroon has caused about 52% of the over 600,000 displaced persons to be women, with children representing 44.5% of the IDP population (UNOCHA, 2020). The UNHCR shared that, with multiple occurrences of lockdowns </w:t>
      </w:r>
      <w:r>
        <w:rPr>
          <w:rFonts w:ascii="Times New Roman" w:eastAsia="Times New Roman" w:hAnsi="Times New Roman" w:cs="Times New Roman"/>
          <w:sz w:val="24"/>
        </w:rPr>
        <w:lastRenderedPageBreak/>
        <w:t>in the SW region, the security situ</w:t>
      </w:r>
      <w:r>
        <w:rPr>
          <w:rFonts w:ascii="Times New Roman" w:eastAsia="Times New Roman" w:hAnsi="Times New Roman" w:cs="Times New Roman"/>
          <w:sz w:val="24"/>
        </w:rPr>
        <w:t>ation remains volatile and unpredictable, especially for women and girls (UNHCR, 2019). With over 70% of women and girls in crisis going through some form of SRHR violation and intimate partner violence, 88% of survivors in the Southwest region are females</w:t>
      </w:r>
      <w:r>
        <w:rPr>
          <w:rFonts w:ascii="Times New Roman" w:eastAsia="Times New Roman" w:hAnsi="Times New Roman" w:cs="Times New Roman"/>
          <w:sz w:val="24"/>
        </w:rPr>
        <w:t xml:space="preserve"> and reported incidents include emotional abuse, denial of resources or opportunities, physical assault, sexual abuse, forced marriage and rape; 56% survivors are host community members, 36% are internally displaced persons (IDPs), and 8% are returnees (UN</w:t>
      </w:r>
      <w:r>
        <w:rPr>
          <w:rFonts w:ascii="Times New Roman" w:eastAsia="Times New Roman" w:hAnsi="Times New Roman" w:cs="Times New Roman"/>
          <w:sz w:val="24"/>
        </w:rPr>
        <w:t xml:space="preserve">OCH, 2021). </w:t>
      </w:r>
    </w:p>
    <w:p w:rsidR="00410213" w:rsidRDefault="00D877C6">
      <w:pPr>
        <w:spacing w:after="157" w:line="361" w:lineRule="auto"/>
        <w:ind w:left="-5" w:right="405" w:hanging="10"/>
        <w:jc w:val="both"/>
      </w:pPr>
      <w:r>
        <w:rPr>
          <w:rFonts w:ascii="Times New Roman" w:eastAsia="Times New Roman" w:hAnsi="Times New Roman" w:cs="Times New Roman"/>
          <w:sz w:val="24"/>
        </w:rPr>
        <w:t>In Mbouda, Cameroon, it was identified that one of the main reasons preventing women from upholding and practising some of their SRHR, such as contraception, was lack of knowledge (31.4%), with 42.4% of these women expressing the willingness t</w:t>
      </w:r>
      <w:r>
        <w:rPr>
          <w:rFonts w:ascii="Times New Roman" w:eastAsia="Times New Roman" w:hAnsi="Times New Roman" w:cs="Times New Roman"/>
          <w:sz w:val="24"/>
        </w:rPr>
        <w:t xml:space="preserve">o start practising contraception if they received more information about the subject (Nansseu et al., 2015). </w:t>
      </w:r>
    </w:p>
    <w:p w:rsidR="00410213" w:rsidRDefault="00D877C6">
      <w:pPr>
        <w:spacing w:after="239" w:line="361" w:lineRule="auto"/>
        <w:ind w:left="-5" w:right="405" w:hanging="10"/>
        <w:jc w:val="both"/>
      </w:pPr>
      <w:r>
        <w:rPr>
          <w:rFonts w:ascii="Times New Roman" w:eastAsia="Times New Roman" w:hAnsi="Times New Roman" w:cs="Times New Roman"/>
          <w:sz w:val="24"/>
        </w:rPr>
        <w:t xml:space="preserve">In conflict settings, these prevailing gaps in knowledge provide the need to improve women and girls' </w:t>
      </w:r>
      <w:r>
        <w:rPr>
          <w:rFonts w:ascii="Times New Roman" w:eastAsia="Times New Roman" w:hAnsi="Times New Roman" w:cs="Times New Roman"/>
          <w:sz w:val="24"/>
        </w:rPr>
        <w:t>awareness of their SRHR and intimate partner violence in Fako Division of the Southwest region of Cameroon. The project therefore enhances women and girls’ knowledge on GBV and their SRHR, existing supporting structures for GBV victims and foster community</w:t>
      </w:r>
      <w:r>
        <w:rPr>
          <w:rFonts w:ascii="Times New Roman" w:eastAsia="Times New Roman" w:hAnsi="Times New Roman" w:cs="Times New Roman"/>
          <w:sz w:val="24"/>
        </w:rPr>
        <w:t xml:space="preserve"> leaders as women and girls’ SRHR champions.   </w:t>
      </w:r>
    </w:p>
    <w:p w:rsidR="00410213" w:rsidRDefault="00D877C6">
      <w:pPr>
        <w:pStyle w:val="Heading1"/>
        <w:ind w:left="355" w:right="0"/>
      </w:pPr>
      <w:bookmarkStart w:id="11" w:name="_Toc30307"/>
      <w:r>
        <w:t>2.</w:t>
      </w:r>
      <w:r>
        <w:rPr>
          <w:rFonts w:ascii="Arial" w:eastAsia="Arial" w:hAnsi="Arial" w:cs="Arial"/>
        </w:rPr>
        <w:t xml:space="preserve"> </w:t>
      </w:r>
      <w:r>
        <w:t xml:space="preserve">THEORETICAL UNDERPINNINGS </w:t>
      </w:r>
      <w:bookmarkEnd w:id="11"/>
    </w:p>
    <w:p w:rsidR="00410213" w:rsidRDefault="00D877C6">
      <w:pPr>
        <w:spacing w:after="115"/>
        <w:ind w:left="-5" w:right="413" w:hanging="10"/>
      </w:pPr>
      <w:r>
        <w:rPr>
          <w:rFonts w:ascii="Times New Roman" w:eastAsia="Times New Roman" w:hAnsi="Times New Roman" w:cs="Times New Roman"/>
          <w:sz w:val="24"/>
        </w:rPr>
        <w:t xml:space="preserve">Tabassum and Nayak (2021) provided a reflection of several theories on GBV and women’s </w:t>
      </w:r>
    </w:p>
    <w:p w:rsidR="00410213" w:rsidRDefault="00D877C6">
      <w:pPr>
        <w:spacing w:after="277"/>
        <w:ind w:left="-5" w:right="413" w:hanging="10"/>
      </w:pPr>
      <w:r>
        <w:rPr>
          <w:rFonts w:ascii="Times New Roman" w:eastAsia="Times New Roman" w:hAnsi="Times New Roman" w:cs="Times New Roman"/>
          <w:sz w:val="24"/>
        </w:rPr>
        <w:t xml:space="preserve">SRHR violation, three of which are;  </w:t>
      </w:r>
    </w:p>
    <w:p w:rsidR="00410213" w:rsidRDefault="00D877C6">
      <w:pPr>
        <w:numPr>
          <w:ilvl w:val="0"/>
          <w:numId w:val="4"/>
        </w:numPr>
        <w:spacing w:after="0" w:line="363" w:lineRule="auto"/>
        <w:ind w:right="413" w:hanging="360"/>
      </w:pPr>
      <w:r>
        <w:rPr>
          <w:rFonts w:ascii="Times New Roman" w:eastAsia="Times New Roman" w:hAnsi="Times New Roman" w:cs="Times New Roman"/>
          <w:sz w:val="24"/>
        </w:rPr>
        <w:t>Social role theory, where women are seen to be nurtu</w:t>
      </w:r>
      <w:r>
        <w:rPr>
          <w:rFonts w:ascii="Times New Roman" w:eastAsia="Times New Roman" w:hAnsi="Times New Roman" w:cs="Times New Roman"/>
          <w:sz w:val="24"/>
        </w:rPr>
        <w:t xml:space="preserve">ring and thus easily exploited by the more assertive men. This is similar to the Fako division setting where most women stay at home to cater for families and equally engage in survival sex and as weapons of war.  </w:t>
      </w:r>
    </w:p>
    <w:p w:rsidR="00410213" w:rsidRDefault="00D877C6">
      <w:pPr>
        <w:numPr>
          <w:ilvl w:val="0"/>
          <w:numId w:val="4"/>
        </w:numPr>
        <w:spacing w:after="154" w:line="363" w:lineRule="auto"/>
        <w:ind w:right="413" w:hanging="360"/>
      </w:pPr>
      <w:r>
        <w:rPr>
          <w:rFonts w:ascii="Times New Roman" w:eastAsia="Times New Roman" w:hAnsi="Times New Roman" w:cs="Times New Roman"/>
          <w:sz w:val="24"/>
        </w:rPr>
        <w:t>Role congruity theory, whereby there is p</w:t>
      </w:r>
      <w:r>
        <w:rPr>
          <w:rFonts w:ascii="Times New Roman" w:eastAsia="Times New Roman" w:hAnsi="Times New Roman" w:cs="Times New Roman"/>
          <w:sz w:val="24"/>
        </w:rPr>
        <w:t xml:space="preserve">rejudice against potential female leaders, especially in communities, thus promoting exploitation and limiting SRHR and GBV change champions who are victims of and aware of the plights of women and girls in conflict-affected settings. </w:t>
      </w:r>
    </w:p>
    <w:p w:rsidR="00410213" w:rsidRDefault="00D877C6">
      <w:pPr>
        <w:numPr>
          <w:ilvl w:val="0"/>
          <w:numId w:val="4"/>
        </w:numPr>
        <w:spacing w:after="0" w:line="363" w:lineRule="auto"/>
        <w:ind w:right="413" w:hanging="360"/>
      </w:pPr>
      <w:r>
        <w:rPr>
          <w:rFonts w:ascii="Times New Roman" w:eastAsia="Times New Roman" w:hAnsi="Times New Roman" w:cs="Times New Roman"/>
          <w:sz w:val="24"/>
        </w:rPr>
        <w:t>Feminism, whereby in</w:t>
      </w:r>
      <w:r>
        <w:rPr>
          <w:rFonts w:ascii="Times New Roman" w:eastAsia="Times New Roman" w:hAnsi="Times New Roman" w:cs="Times New Roman"/>
          <w:sz w:val="24"/>
        </w:rPr>
        <w:t xml:space="preserve"> most developing countries, socio-cultural factors such as patriarchal dominance influence behaviours towards moderate feminism as women face rejection, and their behaviours are considered non-conforming to be respected by most males and, consequently, sex</w:t>
      </w:r>
      <w:r>
        <w:rPr>
          <w:rFonts w:ascii="Times New Roman" w:eastAsia="Times New Roman" w:hAnsi="Times New Roman" w:cs="Times New Roman"/>
          <w:sz w:val="24"/>
        </w:rPr>
        <w:t xml:space="preserve">ual violence.  </w:t>
      </w:r>
    </w:p>
    <w:p w:rsidR="00410213" w:rsidRDefault="00D877C6">
      <w:pPr>
        <w:spacing w:after="273"/>
        <w:ind w:left="370" w:right="413" w:hanging="10"/>
      </w:pPr>
      <w:r>
        <w:rPr>
          <w:rFonts w:ascii="Times New Roman" w:eastAsia="Times New Roman" w:hAnsi="Times New Roman" w:cs="Times New Roman"/>
          <w:sz w:val="24"/>
        </w:rPr>
        <w:t xml:space="preserve">Work on the flow. </w:t>
      </w:r>
    </w:p>
    <w:p w:rsidR="00410213" w:rsidRDefault="00D877C6">
      <w:pPr>
        <w:spacing w:after="154" w:line="363" w:lineRule="auto"/>
        <w:ind w:left="370" w:right="413" w:hanging="10"/>
      </w:pPr>
      <w:r>
        <w:rPr>
          <w:rFonts w:ascii="Times New Roman" w:eastAsia="Times New Roman" w:hAnsi="Times New Roman" w:cs="Times New Roman"/>
          <w:sz w:val="24"/>
        </w:rPr>
        <w:lastRenderedPageBreak/>
        <w:t>However, Lau et al. (2022) depicted that several internal and external environmental interactions affect women’s SRHR and GBV, as in the ecological theory. This theory shows how women intersected within interpersonal micr</w:t>
      </w:r>
      <w:r>
        <w:rPr>
          <w:rFonts w:ascii="Times New Roman" w:eastAsia="Times New Roman" w:hAnsi="Times New Roman" w:cs="Times New Roman"/>
          <w:sz w:val="24"/>
        </w:rPr>
        <w:t xml:space="preserve">osystems, organisational microsystems, macro-systems, and chrono-systems. The ecological model also identifies and describes barriers to women’s SRHR and is enlisted with examples below.  </w:t>
      </w:r>
    </w:p>
    <w:p w:rsidR="00410213" w:rsidRDefault="00D877C6">
      <w:pPr>
        <w:numPr>
          <w:ilvl w:val="1"/>
          <w:numId w:val="4"/>
        </w:numPr>
        <w:spacing w:after="118"/>
        <w:ind w:right="413" w:hanging="360"/>
      </w:pPr>
      <w:r>
        <w:rPr>
          <w:rFonts w:ascii="Times New Roman" w:eastAsia="Times New Roman" w:hAnsi="Times New Roman" w:cs="Times New Roman"/>
          <w:sz w:val="24"/>
        </w:rPr>
        <w:t xml:space="preserve">Public Policy (e.g., legal frameworks) </w:t>
      </w:r>
    </w:p>
    <w:p w:rsidR="00410213" w:rsidRDefault="00D877C6">
      <w:pPr>
        <w:numPr>
          <w:ilvl w:val="1"/>
          <w:numId w:val="4"/>
        </w:numPr>
        <w:spacing w:after="116"/>
        <w:ind w:right="413" w:hanging="360"/>
      </w:pPr>
      <w:r>
        <w:rPr>
          <w:rFonts w:ascii="Times New Roman" w:eastAsia="Times New Roman" w:hAnsi="Times New Roman" w:cs="Times New Roman"/>
          <w:sz w:val="24"/>
        </w:rPr>
        <w:t xml:space="preserve">Community (e.g., social and gender norms) </w:t>
      </w:r>
    </w:p>
    <w:p w:rsidR="00410213" w:rsidRDefault="00D877C6">
      <w:pPr>
        <w:numPr>
          <w:ilvl w:val="1"/>
          <w:numId w:val="4"/>
        </w:numPr>
        <w:spacing w:after="118"/>
        <w:ind w:right="413" w:hanging="360"/>
      </w:pPr>
      <w:r>
        <w:rPr>
          <w:rFonts w:ascii="Times New Roman" w:eastAsia="Times New Roman" w:hAnsi="Times New Roman" w:cs="Times New Roman"/>
          <w:sz w:val="24"/>
        </w:rPr>
        <w:t xml:space="preserve">Institutional (e.g., human resources policies) </w:t>
      </w:r>
    </w:p>
    <w:p w:rsidR="00410213" w:rsidRDefault="00D877C6">
      <w:pPr>
        <w:numPr>
          <w:ilvl w:val="1"/>
          <w:numId w:val="4"/>
        </w:numPr>
        <w:spacing w:after="116"/>
        <w:ind w:right="413" w:hanging="360"/>
      </w:pPr>
      <w:r>
        <w:rPr>
          <w:rFonts w:ascii="Times New Roman" w:eastAsia="Times New Roman" w:hAnsi="Times New Roman" w:cs="Times New Roman"/>
          <w:sz w:val="24"/>
        </w:rPr>
        <w:t xml:space="preserve">Interpersonal (e.g., sexual harassment), and </w:t>
      </w:r>
    </w:p>
    <w:p w:rsidR="00410213" w:rsidRDefault="00D877C6">
      <w:pPr>
        <w:numPr>
          <w:ilvl w:val="1"/>
          <w:numId w:val="4"/>
        </w:numPr>
        <w:spacing w:after="115"/>
        <w:ind w:right="413" w:hanging="360"/>
      </w:pPr>
      <w:r>
        <w:rPr>
          <w:rFonts w:ascii="Times New Roman" w:eastAsia="Times New Roman" w:hAnsi="Times New Roman" w:cs="Times New Roman"/>
          <w:sz w:val="24"/>
        </w:rPr>
        <w:t xml:space="preserve">Individual (e.g., imposter factors). </w:t>
      </w:r>
    </w:p>
    <w:p w:rsidR="00410213" w:rsidRDefault="00D877C6">
      <w:pPr>
        <w:spacing w:after="112"/>
        <w:ind w:left="-5" w:right="413" w:hanging="10"/>
      </w:pPr>
      <w:r>
        <w:rPr>
          <w:rFonts w:ascii="Times New Roman" w:eastAsia="Times New Roman" w:hAnsi="Times New Roman" w:cs="Times New Roman"/>
          <w:sz w:val="24"/>
        </w:rPr>
        <w:t>Using an external environmental tool like PESTLE showcases alignment with this th</w:t>
      </w:r>
      <w:r>
        <w:rPr>
          <w:rFonts w:ascii="Times New Roman" w:eastAsia="Times New Roman" w:hAnsi="Times New Roman" w:cs="Times New Roman"/>
          <w:sz w:val="24"/>
        </w:rPr>
        <w:t xml:space="preserve">eory </w:t>
      </w:r>
    </w:p>
    <w:p w:rsidR="00410213" w:rsidRDefault="00D877C6">
      <w:pPr>
        <w:spacing w:after="277"/>
        <w:ind w:left="-5" w:right="413" w:hanging="10"/>
      </w:pPr>
      <w:r>
        <w:rPr>
          <w:rFonts w:ascii="Times New Roman" w:eastAsia="Times New Roman" w:hAnsi="Times New Roman" w:cs="Times New Roman"/>
          <w:sz w:val="24"/>
        </w:rPr>
        <w:t xml:space="preserve">(Freeman et al., 2018) through integration of institutional, community and public policy factors. </w:t>
      </w:r>
    </w:p>
    <w:p w:rsidR="00410213" w:rsidRDefault="00D877C6">
      <w:pPr>
        <w:numPr>
          <w:ilvl w:val="0"/>
          <w:numId w:val="5"/>
        </w:numPr>
        <w:spacing w:after="118"/>
        <w:ind w:right="413" w:hanging="360"/>
      </w:pPr>
      <w:r>
        <w:rPr>
          <w:rFonts w:ascii="Times New Roman" w:eastAsia="Times New Roman" w:hAnsi="Times New Roman" w:cs="Times New Roman"/>
          <w:sz w:val="24"/>
        </w:rPr>
        <w:t xml:space="preserve">Political Factors: Government regulatory systems and legal frameworks </w:t>
      </w:r>
    </w:p>
    <w:p w:rsidR="00410213" w:rsidRDefault="00D877C6">
      <w:pPr>
        <w:numPr>
          <w:ilvl w:val="0"/>
          <w:numId w:val="5"/>
        </w:numPr>
        <w:spacing w:after="0" w:line="363" w:lineRule="auto"/>
        <w:ind w:right="413" w:hanging="360"/>
      </w:pPr>
      <w:r>
        <w:rPr>
          <w:rFonts w:ascii="Times New Roman" w:eastAsia="Times New Roman" w:hAnsi="Times New Roman" w:cs="Times New Roman"/>
          <w:sz w:val="24"/>
        </w:rPr>
        <w:t>Economic Factors: employment rate, inequality index, workforce productivity, inf</w:t>
      </w:r>
      <w:r>
        <w:rPr>
          <w:rFonts w:ascii="Times New Roman" w:eastAsia="Times New Roman" w:hAnsi="Times New Roman" w:cs="Times New Roman"/>
          <w:sz w:val="24"/>
        </w:rPr>
        <w:t xml:space="preserve">lation rate </w:t>
      </w:r>
    </w:p>
    <w:p w:rsidR="00410213" w:rsidRDefault="00D877C6">
      <w:pPr>
        <w:numPr>
          <w:ilvl w:val="0"/>
          <w:numId w:val="5"/>
        </w:numPr>
        <w:spacing w:after="0" w:line="363" w:lineRule="auto"/>
        <w:ind w:right="413" w:hanging="360"/>
      </w:pPr>
      <w:r>
        <w:rPr>
          <w:rFonts w:ascii="Times New Roman" w:eastAsia="Times New Roman" w:hAnsi="Times New Roman" w:cs="Times New Roman"/>
          <w:sz w:val="24"/>
        </w:rPr>
        <w:t xml:space="preserve">Social Factors: levels of social concerns and awareness, societal norms, education, family size and structure </w:t>
      </w:r>
    </w:p>
    <w:p w:rsidR="00410213" w:rsidRDefault="00D877C6">
      <w:pPr>
        <w:numPr>
          <w:ilvl w:val="0"/>
          <w:numId w:val="5"/>
        </w:numPr>
        <w:spacing w:after="0" w:line="363" w:lineRule="auto"/>
        <w:ind w:right="413" w:hanging="360"/>
      </w:pPr>
      <w:r>
        <w:rPr>
          <w:rFonts w:ascii="Times New Roman" w:eastAsia="Times New Roman" w:hAnsi="Times New Roman" w:cs="Times New Roman"/>
          <w:sz w:val="24"/>
        </w:rPr>
        <w:t xml:space="preserve">Technological Factors: transparency and digital drive, internet, technological infrastructure and use of social media </w:t>
      </w:r>
    </w:p>
    <w:p w:rsidR="00410213" w:rsidRDefault="00D877C6">
      <w:pPr>
        <w:numPr>
          <w:ilvl w:val="0"/>
          <w:numId w:val="5"/>
        </w:numPr>
        <w:spacing w:after="116"/>
        <w:ind w:right="413" w:hanging="360"/>
      </w:pPr>
      <w:r>
        <w:rPr>
          <w:rFonts w:ascii="Times New Roman" w:eastAsia="Times New Roman" w:hAnsi="Times New Roman" w:cs="Times New Roman"/>
          <w:sz w:val="24"/>
        </w:rPr>
        <w:t>Legal Factors</w:t>
      </w:r>
      <w:r>
        <w:rPr>
          <w:rFonts w:ascii="Times New Roman" w:eastAsia="Times New Roman" w:hAnsi="Times New Roman" w:cs="Times New Roman"/>
          <w:sz w:val="24"/>
        </w:rPr>
        <w:t xml:space="preserve">: health, safety and protection laws, anti-discriminatory law </w:t>
      </w:r>
    </w:p>
    <w:p w:rsidR="00410213" w:rsidRDefault="00D877C6">
      <w:pPr>
        <w:numPr>
          <w:ilvl w:val="0"/>
          <w:numId w:val="5"/>
        </w:numPr>
        <w:spacing w:after="115"/>
        <w:ind w:right="413" w:hanging="360"/>
      </w:pPr>
      <w:r>
        <w:rPr>
          <w:rFonts w:ascii="Times New Roman" w:eastAsia="Times New Roman" w:hAnsi="Times New Roman" w:cs="Times New Roman"/>
          <w:sz w:val="24"/>
        </w:rPr>
        <w:t xml:space="preserve">Environmental Factors; social responsibility culture. </w:t>
      </w:r>
    </w:p>
    <w:p w:rsidR="00410213" w:rsidRDefault="00D877C6">
      <w:pPr>
        <w:spacing w:after="182" w:line="363" w:lineRule="auto"/>
        <w:ind w:left="-5" w:right="413" w:hanging="10"/>
      </w:pPr>
      <w:r>
        <w:rPr>
          <w:rFonts w:ascii="Times New Roman" w:eastAsia="Times New Roman" w:hAnsi="Times New Roman" w:cs="Times New Roman"/>
          <w:sz w:val="24"/>
        </w:rPr>
        <w:t xml:space="preserve">As a result, integrating the ecological model to the pestle framework will provide a holistic and sustainable community-based </w:t>
      </w:r>
      <w:r>
        <w:rPr>
          <w:rFonts w:ascii="Times New Roman" w:eastAsia="Times New Roman" w:hAnsi="Times New Roman" w:cs="Times New Roman"/>
          <w:sz w:val="24"/>
        </w:rPr>
        <w:t xml:space="preserve">solution in fostering women’s SRHR and ending all forms of GBV. However, due to time constraints, the SRHR Alliance’s Theory of Change defined in section three below was utilized for this SCI.  </w:t>
      </w:r>
    </w:p>
    <w:p w:rsidR="00410213" w:rsidRDefault="00D877C6">
      <w:pPr>
        <w:spacing w:after="240" w:line="363" w:lineRule="auto"/>
        <w:ind w:left="-5" w:right="413" w:hanging="10"/>
      </w:pPr>
      <w:r>
        <w:rPr>
          <w:rFonts w:ascii="Times New Roman" w:eastAsia="Times New Roman" w:hAnsi="Times New Roman" w:cs="Times New Roman"/>
          <w:sz w:val="24"/>
        </w:rPr>
        <w:t>Therefore, addressing these barriers through enhancement of w</w:t>
      </w:r>
      <w:r>
        <w:rPr>
          <w:rFonts w:ascii="Times New Roman" w:eastAsia="Times New Roman" w:hAnsi="Times New Roman" w:cs="Times New Roman"/>
          <w:sz w:val="24"/>
        </w:rPr>
        <w:t>omen and girls’ awareness of GBV and their SRHR, as well as integrating local actors and leaders as champions of change, boosts opportunities and creates sustainable impacts that have multiple positive effects like breaking down stereotypes on women in bei</w:t>
      </w:r>
      <w:r>
        <w:rPr>
          <w:rFonts w:ascii="Times New Roman" w:eastAsia="Times New Roman" w:hAnsi="Times New Roman" w:cs="Times New Roman"/>
          <w:sz w:val="24"/>
        </w:rPr>
        <w:t>ng aware, leading and championing the rights of other women and encourage women in pursuit of their safety and wellbeing. This prompted broader culture change with a strong representation that women, too can own their SRHR and augment community resilience,</w:t>
      </w:r>
      <w:r>
        <w:rPr>
          <w:rFonts w:ascii="Times New Roman" w:eastAsia="Times New Roman" w:hAnsi="Times New Roman" w:cs="Times New Roman"/>
          <w:sz w:val="24"/>
        </w:rPr>
        <w:t xml:space="preserve"> development, peace and growth.  </w:t>
      </w:r>
    </w:p>
    <w:p w:rsidR="00410213" w:rsidRDefault="00D877C6">
      <w:pPr>
        <w:pStyle w:val="Heading1"/>
        <w:ind w:left="355" w:right="0"/>
      </w:pPr>
      <w:bookmarkStart w:id="12" w:name="_Toc30308"/>
      <w:r>
        <w:lastRenderedPageBreak/>
        <w:t>3.</w:t>
      </w:r>
      <w:r>
        <w:rPr>
          <w:rFonts w:ascii="Arial" w:eastAsia="Arial" w:hAnsi="Arial" w:cs="Arial"/>
        </w:rPr>
        <w:t xml:space="preserve"> </w:t>
      </w:r>
      <w:r>
        <w:t xml:space="preserve">CHANGE THEORY AND HOW IT WAS APPLIED </w:t>
      </w:r>
      <w:bookmarkEnd w:id="12"/>
    </w:p>
    <w:p w:rsidR="00410213" w:rsidRDefault="00D877C6">
      <w:pPr>
        <w:spacing w:after="0" w:line="361" w:lineRule="auto"/>
        <w:ind w:left="-5" w:right="405" w:hanging="10"/>
        <w:jc w:val="both"/>
      </w:pPr>
      <w:r>
        <w:rPr>
          <w:rFonts w:ascii="Times New Roman" w:eastAsia="Times New Roman" w:hAnsi="Times New Roman" w:cs="Times New Roman"/>
          <w:sz w:val="24"/>
        </w:rPr>
        <w:t>Using Lewin’s change management theory (Cummings et.al, 2016) of unfreezing, transition and freezing, whereby the change process is created through a perception of the need for chan</w:t>
      </w:r>
      <w:r>
        <w:rPr>
          <w:rFonts w:ascii="Times New Roman" w:eastAsia="Times New Roman" w:hAnsi="Times New Roman" w:cs="Times New Roman"/>
          <w:sz w:val="24"/>
        </w:rPr>
        <w:t>ge, then moving towards the newly desired change and later solidifying that new behaviour as a norm, provision of behavioural change skills was integrated by community sensitisation. This incorporated three levels of the ecological model: individual, inter</w:t>
      </w:r>
      <w:r>
        <w:rPr>
          <w:rFonts w:ascii="Times New Roman" w:eastAsia="Times New Roman" w:hAnsi="Times New Roman" w:cs="Times New Roman"/>
          <w:sz w:val="24"/>
        </w:rPr>
        <w:t>personal and community levels of interaction through addressing imposter factors, sexual harassment, and social and gender norms, respectively. Consequently, women and girls’ awareness of GBV and their SRHR improved through education, community mobilisatio</w:t>
      </w:r>
      <w:r>
        <w:rPr>
          <w:rFonts w:ascii="Times New Roman" w:eastAsia="Times New Roman" w:hAnsi="Times New Roman" w:cs="Times New Roman"/>
          <w:sz w:val="24"/>
        </w:rPr>
        <w:t xml:space="preserve">n awareness raising and recommendations on existing community victim support structures and creating new ones where possible (figure 1). Thus, claiming their rights and limiting GBV and SRHR prevalence. </w:t>
      </w:r>
    </w:p>
    <w:p w:rsidR="00410213" w:rsidRDefault="00D877C6">
      <w:pPr>
        <w:spacing w:after="113"/>
        <w:ind w:left="614"/>
      </w:pPr>
      <w:r>
        <w:rPr>
          <w:noProof/>
        </w:rPr>
        <mc:AlternateContent>
          <mc:Choice Requires="wpg">
            <w:drawing>
              <wp:inline distT="0" distB="0" distL="0" distR="0">
                <wp:extent cx="3924300" cy="819785"/>
                <wp:effectExtent l="0" t="0" r="0" b="0"/>
                <wp:docPr id="27937" name="Group 27937"/>
                <wp:cNvGraphicFramePr/>
                <a:graphic xmlns:a="http://schemas.openxmlformats.org/drawingml/2006/main">
                  <a:graphicData uri="http://schemas.microsoft.com/office/word/2010/wordprocessingGroup">
                    <wpg:wgp>
                      <wpg:cNvGrpSpPr/>
                      <wpg:grpSpPr>
                        <a:xfrm>
                          <a:off x="0" y="0"/>
                          <a:ext cx="3924300" cy="819785"/>
                          <a:chOff x="0" y="0"/>
                          <a:chExt cx="3924300" cy="819785"/>
                        </a:xfrm>
                      </wpg:grpSpPr>
                      <wps:wsp>
                        <wps:cNvPr id="2198" name="Shape 2198"/>
                        <wps:cNvSpPr/>
                        <wps:spPr>
                          <a:xfrm>
                            <a:off x="0" y="0"/>
                            <a:ext cx="3924300" cy="428625"/>
                          </a:xfrm>
                          <a:custGeom>
                            <a:avLst/>
                            <a:gdLst/>
                            <a:ahLst/>
                            <a:cxnLst/>
                            <a:rect l="0" t="0" r="0" b="0"/>
                            <a:pathLst>
                              <a:path w="3924300" h="428625">
                                <a:moveTo>
                                  <a:pt x="0" y="428625"/>
                                </a:moveTo>
                                <a:lnTo>
                                  <a:pt x="3924300" y="428625"/>
                                </a:lnTo>
                                <a:lnTo>
                                  <a:pt x="392430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2199" name="Rectangle 2199"/>
                        <wps:cNvSpPr/>
                        <wps:spPr>
                          <a:xfrm>
                            <a:off x="200152" y="98806"/>
                            <a:ext cx="4730540" cy="189937"/>
                          </a:xfrm>
                          <a:prstGeom prst="rect">
                            <a:avLst/>
                          </a:prstGeom>
                          <a:ln>
                            <a:noFill/>
                          </a:ln>
                        </wps:spPr>
                        <wps:txbx>
                          <w:txbxContent>
                            <w:p w:rsidR="00410213" w:rsidRDefault="00D877C6">
                              <w:r>
                                <w:t>Improved women and girls’ awareness on GBV and th</w:t>
                              </w:r>
                              <w:r>
                                <w:t xml:space="preserve">eir SRHR </w:t>
                              </w:r>
                            </w:p>
                          </w:txbxContent>
                        </wps:txbx>
                        <wps:bodyPr horzOverflow="overflow" vert="horz" lIns="0" tIns="0" rIns="0" bIns="0" rtlCol="0">
                          <a:noAutofit/>
                        </wps:bodyPr>
                      </wps:wsp>
                      <wps:wsp>
                        <wps:cNvPr id="2200" name="Rectangle 2200"/>
                        <wps:cNvSpPr/>
                        <wps:spPr>
                          <a:xfrm>
                            <a:off x="3756279" y="98806"/>
                            <a:ext cx="42143" cy="189937"/>
                          </a:xfrm>
                          <a:prstGeom prst="rect">
                            <a:avLst/>
                          </a:prstGeom>
                          <a:ln>
                            <a:noFill/>
                          </a:ln>
                        </wps:spPr>
                        <wps:txbx>
                          <w:txbxContent>
                            <w:p w:rsidR="00410213" w:rsidRDefault="00D877C6">
                              <w:r>
                                <w:t xml:space="preserve"> </w:t>
                              </w:r>
                            </w:p>
                          </w:txbxContent>
                        </wps:txbx>
                        <wps:bodyPr horzOverflow="overflow" vert="horz" lIns="0" tIns="0" rIns="0" bIns="0" rtlCol="0">
                          <a:noAutofit/>
                        </wps:bodyPr>
                      </wps:wsp>
                      <wps:wsp>
                        <wps:cNvPr id="2252" name="Shape 2252"/>
                        <wps:cNvSpPr/>
                        <wps:spPr>
                          <a:xfrm>
                            <a:off x="315595" y="430657"/>
                            <a:ext cx="256032" cy="389128"/>
                          </a:xfrm>
                          <a:custGeom>
                            <a:avLst/>
                            <a:gdLst/>
                            <a:ahLst/>
                            <a:cxnLst/>
                            <a:rect l="0" t="0" r="0" b="0"/>
                            <a:pathLst>
                              <a:path w="256032" h="389128">
                                <a:moveTo>
                                  <a:pt x="250698" y="0"/>
                                </a:moveTo>
                                <a:lnTo>
                                  <a:pt x="256032" y="3556"/>
                                </a:lnTo>
                                <a:lnTo>
                                  <a:pt x="44386" y="327113"/>
                                </a:lnTo>
                                <a:lnTo>
                                  <a:pt x="73660" y="346202"/>
                                </a:lnTo>
                                <a:lnTo>
                                  <a:pt x="0" y="389128"/>
                                </a:lnTo>
                                <a:lnTo>
                                  <a:pt x="9779" y="304546"/>
                                </a:lnTo>
                                <a:lnTo>
                                  <a:pt x="39073" y="323648"/>
                                </a:lnTo>
                                <a:lnTo>
                                  <a:pt x="25069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53" name="Shape 2253"/>
                        <wps:cNvSpPr/>
                        <wps:spPr>
                          <a:xfrm>
                            <a:off x="1842897" y="431419"/>
                            <a:ext cx="147447" cy="378206"/>
                          </a:xfrm>
                          <a:custGeom>
                            <a:avLst/>
                            <a:gdLst/>
                            <a:ahLst/>
                            <a:cxnLst/>
                            <a:rect l="0" t="0" r="0" b="0"/>
                            <a:pathLst>
                              <a:path w="147447" h="378206">
                                <a:moveTo>
                                  <a:pt x="6096" y="0"/>
                                </a:moveTo>
                                <a:lnTo>
                                  <a:pt x="114510" y="305321"/>
                                </a:lnTo>
                                <a:lnTo>
                                  <a:pt x="147447" y="293624"/>
                                </a:lnTo>
                                <a:lnTo>
                                  <a:pt x="137033" y="378206"/>
                                </a:lnTo>
                                <a:lnTo>
                                  <a:pt x="75565" y="319151"/>
                                </a:lnTo>
                                <a:lnTo>
                                  <a:pt x="108526" y="307446"/>
                                </a:lnTo>
                                <a:lnTo>
                                  <a:pt x="0" y="2032"/>
                                </a:lnTo>
                                <a:lnTo>
                                  <a:pt x="609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254" name="Shape 2254"/>
                        <wps:cNvSpPr/>
                        <wps:spPr>
                          <a:xfrm>
                            <a:off x="3195701" y="439674"/>
                            <a:ext cx="389509" cy="379476"/>
                          </a:xfrm>
                          <a:custGeom>
                            <a:avLst/>
                            <a:gdLst/>
                            <a:ahLst/>
                            <a:cxnLst/>
                            <a:rect l="0" t="0" r="0" b="0"/>
                            <a:pathLst>
                              <a:path w="389509" h="379476">
                                <a:moveTo>
                                  <a:pt x="4318" y="0"/>
                                </a:moveTo>
                                <a:lnTo>
                                  <a:pt x="337097" y="324002"/>
                                </a:lnTo>
                                <a:lnTo>
                                  <a:pt x="361442" y="298958"/>
                                </a:lnTo>
                                <a:lnTo>
                                  <a:pt x="389509" y="379476"/>
                                </a:lnTo>
                                <a:lnTo>
                                  <a:pt x="308356" y="353568"/>
                                </a:lnTo>
                                <a:lnTo>
                                  <a:pt x="332654" y="328573"/>
                                </a:lnTo>
                                <a:lnTo>
                                  <a:pt x="0" y="4572"/>
                                </a:lnTo>
                                <a:lnTo>
                                  <a:pt x="431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7937" style="width:309pt;height:64.55pt;mso-position-horizontal-relative:char;mso-position-vertical-relative:line" coordsize="39243,8197">
                <v:shape id="Shape 2198" style="position:absolute;width:39243;height:4286;left:0;top:0;" coordsize="3924300,428625" path="m0,428625l3924300,428625l3924300,0l0,0x">
                  <v:stroke weight="1pt" endcap="flat" joinstyle="miter" miterlimit="10" on="true" color="#70ad47"/>
                  <v:fill on="false" color="#000000" opacity="0"/>
                </v:shape>
                <v:rect id="Rectangle 2199" style="position:absolute;width:47305;height:1899;left:2001;top:988;" filled="f" stroked="f">
                  <v:textbox inset="0,0,0,0">
                    <w:txbxContent>
                      <w:p>
                        <w:pPr>
                          <w:spacing w:before="0" w:after="160" w:line="259" w:lineRule="auto"/>
                        </w:pPr>
                        <w:r>
                          <w:rPr>
                            <w:rFonts w:cs="Calibri" w:hAnsi="Calibri" w:eastAsia="Calibri" w:ascii="Calibri"/>
                            <w:sz w:val="22"/>
                          </w:rPr>
                          <w:t xml:space="preserve">Improved women and girls’ awareness on GBV and their SRHR </w:t>
                        </w:r>
                      </w:p>
                    </w:txbxContent>
                  </v:textbox>
                </v:rect>
                <v:rect id="Rectangle 2200" style="position:absolute;width:421;height:1899;left:37562;top:988;" filled="f" stroked="f">
                  <v:textbox inset="0,0,0,0">
                    <w:txbxContent>
                      <w:p>
                        <w:pPr>
                          <w:spacing w:before="0" w:after="160" w:line="259" w:lineRule="auto"/>
                        </w:pPr>
                        <w:r>
                          <w:rPr>
                            <w:rFonts w:cs="Calibri" w:hAnsi="Calibri" w:eastAsia="Calibri" w:ascii="Calibri"/>
                            <w:sz w:val="22"/>
                          </w:rPr>
                          <w:t xml:space="preserve"> </w:t>
                        </w:r>
                      </w:p>
                    </w:txbxContent>
                  </v:textbox>
                </v:rect>
                <v:shape id="Shape 2252" style="position:absolute;width:2560;height:3891;left:3155;top:4306;" coordsize="256032,389128" path="m250698,0l256032,3556l44386,327113l73660,346202l0,389128l9779,304546l39073,323648l250698,0x">
                  <v:stroke weight="0pt" endcap="flat" joinstyle="miter" miterlimit="10" on="false" color="#000000" opacity="0"/>
                  <v:fill on="true" color="#5b9bd5"/>
                </v:shape>
                <v:shape id="Shape 2253" style="position:absolute;width:1474;height:3782;left:18428;top:4314;" coordsize="147447,378206" path="m6096,0l114510,305321l147447,293624l137033,378206l75565,319151l108526,307446l0,2032l6096,0x">
                  <v:stroke weight="0pt" endcap="flat" joinstyle="miter" miterlimit="10" on="false" color="#000000" opacity="0"/>
                  <v:fill on="true" color="#5b9bd5"/>
                </v:shape>
                <v:shape id="Shape 2254" style="position:absolute;width:3895;height:3794;left:31957;top:4396;" coordsize="389509,379476" path="m4318,0l337097,324002l361442,298958l389509,379476l308356,353568l332654,328573l0,4572l4318,0x">
                  <v:stroke weight="0pt" endcap="flat" joinstyle="miter" miterlimit="10" on="false" color="#000000" opacity="0"/>
                  <v:fill on="true" color="#5b9bd5"/>
                </v:shape>
              </v:group>
            </w:pict>
          </mc:Fallback>
        </mc:AlternateContent>
      </w:r>
    </w:p>
    <w:tbl>
      <w:tblPr>
        <w:tblStyle w:val="TableGrid"/>
        <w:tblW w:w="9631" w:type="dxa"/>
        <w:tblInd w:w="-226" w:type="dxa"/>
        <w:tblCellMar>
          <w:top w:w="288" w:type="dxa"/>
          <w:left w:w="155" w:type="dxa"/>
          <w:bottom w:w="0" w:type="dxa"/>
          <w:right w:w="115" w:type="dxa"/>
        </w:tblCellMar>
        <w:tblLook w:val="04A0" w:firstRow="1" w:lastRow="0" w:firstColumn="1" w:lastColumn="0" w:noHBand="0" w:noVBand="1"/>
      </w:tblPr>
      <w:tblGrid>
        <w:gridCol w:w="2430"/>
        <w:gridCol w:w="299"/>
        <w:gridCol w:w="2685"/>
        <w:gridCol w:w="992"/>
        <w:gridCol w:w="3225"/>
      </w:tblGrid>
      <w:tr w:rsidR="00410213">
        <w:trPr>
          <w:trHeight w:val="960"/>
        </w:trPr>
        <w:tc>
          <w:tcPr>
            <w:tcW w:w="2430" w:type="dxa"/>
            <w:tcBorders>
              <w:top w:val="single" w:sz="8" w:space="0" w:color="70AD47"/>
              <w:left w:val="single" w:sz="8" w:space="0" w:color="70AD47"/>
              <w:bottom w:val="single" w:sz="8" w:space="0" w:color="70AD47"/>
              <w:right w:val="single" w:sz="8" w:space="0" w:color="70AD47"/>
            </w:tcBorders>
          </w:tcPr>
          <w:p w:rsidR="00410213" w:rsidRDefault="00D877C6">
            <w:pPr>
              <w:tabs>
                <w:tab w:val="center" w:pos="1060"/>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What to Change </w:t>
            </w:r>
          </w:p>
        </w:tc>
        <w:tc>
          <w:tcPr>
            <w:tcW w:w="299" w:type="dxa"/>
            <w:tcBorders>
              <w:top w:val="nil"/>
              <w:left w:val="single" w:sz="8" w:space="0" w:color="70AD47"/>
              <w:bottom w:val="nil"/>
              <w:right w:val="single" w:sz="8" w:space="0" w:color="70AD47"/>
            </w:tcBorders>
          </w:tcPr>
          <w:p w:rsidR="00410213" w:rsidRDefault="00410213"/>
        </w:tc>
        <w:tc>
          <w:tcPr>
            <w:tcW w:w="2685" w:type="dxa"/>
            <w:tcBorders>
              <w:top w:val="single" w:sz="8" w:space="0" w:color="70AD47"/>
              <w:left w:val="single" w:sz="8" w:space="0" w:color="70AD47"/>
              <w:bottom w:val="single" w:sz="8" w:space="0" w:color="70AD47"/>
              <w:right w:val="single" w:sz="8" w:space="0" w:color="70AD47"/>
            </w:tcBorders>
          </w:tcPr>
          <w:p w:rsidR="00410213" w:rsidRDefault="00D877C6">
            <w:pPr>
              <w:spacing w:after="0"/>
              <w:ind w:right="41"/>
              <w:jc w:val="center"/>
            </w:pPr>
            <w:r>
              <w:t xml:space="preserve">What to Change to </w:t>
            </w:r>
          </w:p>
        </w:tc>
        <w:tc>
          <w:tcPr>
            <w:tcW w:w="992" w:type="dxa"/>
            <w:tcBorders>
              <w:top w:val="nil"/>
              <w:left w:val="single" w:sz="8" w:space="0" w:color="70AD47"/>
              <w:bottom w:val="nil"/>
              <w:right w:val="single" w:sz="8" w:space="0" w:color="70AD47"/>
            </w:tcBorders>
          </w:tcPr>
          <w:p w:rsidR="00410213" w:rsidRDefault="00410213"/>
        </w:tc>
        <w:tc>
          <w:tcPr>
            <w:tcW w:w="3225" w:type="dxa"/>
            <w:tcBorders>
              <w:top w:val="single" w:sz="8" w:space="0" w:color="70AD47"/>
              <w:left w:val="single" w:sz="8" w:space="0" w:color="70AD47"/>
              <w:bottom w:val="single" w:sz="8" w:space="0" w:color="70AD47"/>
              <w:right w:val="single" w:sz="8" w:space="0" w:color="70AD47"/>
            </w:tcBorders>
          </w:tcPr>
          <w:p w:rsidR="00410213" w:rsidRDefault="00D877C6">
            <w:pPr>
              <w:spacing w:after="0"/>
            </w:pPr>
            <w:r>
              <w:t xml:space="preserve">How to cause the change </w:t>
            </w:r>
          </w:p>
        </w:tc>
      </w:tr>
    </w:tbl>
    <w:p w:rsidR="00410213" w:rsidRDefault="00D877C6">
      <w:pPr>
        <w:tabs>
          <w:tab w:val="center" w:pos="1048"/>
          <w:tab w:val="center" w:pos="3679"/>
        </w:tabs>
        <w:spacing w:after="0"/>
      </w:pPr>
      <w:r>
        <w:rPr>
          <w:noProof/>
        </w:rPr>
        <mc:AlternateContent>
          <mc:Choice Requires="wpg">
            <w:drawing>
              <wp:anchor distT="0" distB="0" distL="114300" distR="114300" simplePos="0" relativeHeight="251658240" behindDoc="0" locked="0" layoutInCell="1" allowOverlap="1">
                <wp:simplePos x="0" y="0"/>
                <wp:positionH relativeFrom="column">
                  <wp:posOffset>4367479</wp:posOffset>
                </wp:positionH>
                <wp:positionV relativeFrom="paragraph">
                  <wp:posOffset>-10286</wp:posOffset>
                </wp:positionV>
                <wp:extent cx="73914" cy="179197"/>
                <wp:effectExtent l="0" t="0" r="0" b="0"/>
                <wp:wrapSquare wrapText="bothSides"/>
                <wp:docPr id="27940" name="Group 27940"/>
                <wp:cNvGraphicFramePr/>
                <a:graphic xmlns:a="http://schemas.openxmlformats.org/drawingml/2006/main">
                  <a:graphicData uri="http://schemas.microsoft.com/office/word/2010/wordprocessingGroup">
                    <wpg:wgp>
                      <wpg:cNvGrpSpPr/>
                      <wpg:grpSpPr>
                        <a:xfrm>
                          <a:off x="0" y="0"/>
                          <a:ext cx="73914" cy="179197"/>
                          <a:chOff x="0" y="0"/>
                          <a:chExt cx="73914" cy="179197"/>
                        </a:xfrm>
                      </wpg:grpSpPr>
                      <wps:wsp>
                        <wps:cNvPr id="2257" name="Shape 2257"/>
                        <wps:cNvSpPr/>
                        <wps:spPr>
                          <a:xfrm>
                            <a:off x="0" y="0"/>
                            <a:ext cx="73914" cy="179197"/>
                          </a:xfrm>
                          <a:custGeom>
                            <a:avLst/>
                            <a:gdLst/>
                            <a:ahLst/>
                            <a:cxnLst/>
                            <a:rect l="0" t="0" r="0" b="0"/>
                            <a:pathLst>
                              <a:path w="73914" h="179197">
                                <a:moveTo>
                                  <a:pt x="13589" y="0"/>
                                </a:moveTo>
                                <a:lnTo>
                                  <a:pt x="40043" y="104566"/>
                                </a:lnTo>
                                <a:lnTo>
                                  <a:pt x="73914" y="96012"/>
                                </a:lnTo>
                                <a:lnTo>
                                  <a:pt x="55626" y="179197"/>
                                </a:lnTo>
                                <a:lnTo>
                                  <a:pt x="0" y="114681"/>
                                </a:lnTo>
                                <a:lnTo>
                                  <a:pt x="33841" y="106133"/>
                                </a:lnTo>
                                <a:lnTo>
                                  <a:pt x="7493" y="1651"/>
                                </a:lnTo>
                                <a:lnTo>
                                  <a:pt x="1358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a="http://schemas.openxmlformats.org/drawingml/2006/main">
            <w:pict>
              <v:group id="Group 27940" style="width:5.81998pt;height:14.11pt;position:absolute;mso-position-horizontal-relative:text;mso-position-horizontal:absolute;margin-left:343.896pt;mso-position-vertical-relative:text;margin-top:-0.809998pt;" coordsize="739,1791">
                <v:shape id="Shape 2257" style="position:absolute;width:739;height:1791;left:0;top:0;" coordsize="73914,179197" path="m13589,0l40043,104566l73914,96012l55626,179197l0,114681l33841,106133l7493,1651l13589,0x">
                  <v:stroke weight="0pt" endcap="flat" joinstyle="miter" miterlimit="10" on="false" color="#000000" opacity="0"/>
                  <v:fill on="true" color="#5b9bd5"/>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mc:AlternateContent>
          <mc:Choice Requires="wpg">
            <w:drawing>
              <wp:inline distT="0" distB="0" distL="0" distR="0">
                <wp:extent cx="74295" cy="199390"/>
                <wp:effectExtent l="0" t="0" r="0" b="0"/>
                <wp:docPr id="27939" name="Group 27939"/>
                <wp:cNvGraphicFramePr/>
                <a:graphic xmlns:a="http://schemas.openxmlformats.org/drawingml/2006/main">
                  <a:graphicData uri="http://schemas.microsoft.com/office/word/2010/wordprocessingGroup">
                    <wpg:wgp>
                      <wpg:cNvGrpSpPr/>
                      <wpg:grpSpPr>
                        <a:xfrm>
                          <a:off x="0" y="0"/>
                          <a:ext cx="74295" cy="199390"/>
                          <a:chOff x="0" y="0"/>
                          <a:chExt cx="74295" cy="199390"/>
                        </a:xfrm>
                      </wpg:grpSpPr>
                      <wps:wsp>
                        <wps:cNvPr id="2256" name="Shape 2256"/>
                        <wps:cNvSpPr/>
                        <wps:spPr>
                          <a:xfrm>
                            <a:off x="0" y="0"/>
                            <a:ext cx="74295" cy="199390"/>
                          </a:xfrm>
                          <a:custGeom>
                            <a:avLst/>
                            <a:gdLst/>
                            <a:ahLst/>
                            <a:cxnLst/>
                            <a:rect l="0" t="0" r="0" b="0"/>
                            <a:pathLst>
                              <a:path w="74295" h="199390">
                                <a:moveTo>
                                  <a:pt x="11938" y="0"/>
                                </a:moveTo>
                                <a:lnTo>
                                  <a:pt x="40249" y="124454"/>
                                </a:lnTo>
                                <a:lnTo>
                                  <a:pt x="74295" y="116713"/>
                                </a:lnTo>
                                <a:lnTo>
                                  <a:pt x="53975" y="199390"/>
                                </a:lnTo>
                                <a:lnTo>
                                  <a:pt x="0" y="133604"/>
                                </a:lnTo>
                                <a:lnTo>
                                  <a:pt x="34041" y="125865"/>
                                </a:lnTo>
                                <a:lnTo>
                                  <a:pt x="5842" y="1397"/>
                                </a:lnTo>
                                <a:lnTo>
                                  <a:pt x="1193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7939" style="width:5.85pt;height:15.7pt;mso-position-horizontal-relative:char;mso-position-vertical-relative:line" coordsize="742,1993">
                <v:shape id="Shape 2256" style="position:absolute;width:742;height:1993;left:0;top:0;" coordsize="74295,199390" path="m11938,0l40249,124454l74295,116713l53975,199390l0,133604l34041,125865l5842,1397l11938,0x">
                  <v:stroke weight="0pt" endcap="flat" joinstyle="miter" miterlimit="10" on="false" color="#000000" opacity="0"/>
                  <v:fill on="true" color="#5b9bd5"/>
                </v:shape>
              </v:group>
            </w:pict>
          </mc:Fallback>
        </mc:AlternateContent>
      </w:r>
      <w:r>
        <w:tab/>
      </w:r>
      <w:r>
        <w:rPr>
          <w:noProof/>
        </w:rPr>
        <mc:AlternateContent>
          <mc:Choice Requires="wpg">
            <w:drawing>
              <wp:inline distT="0" distB="0" distL="0" distR="0">
                <wp:extent cx="74295" cy="199390"/>
                <wp:effectExtent l="0" t="0" r="0" b="0"/>
                <wp:docPr id="27938" name="Group 27938"/>
                <wp:cNvGraphicFramePr/>
                <a:graphic xmlns:a="http://schemas.openxmlformats.org/drawingml/2006/main">
                  <a:graphicData uri="http://schemas.microsoft.com/office/word/2010/wordprocessingGroup">
                    <wpg:wgp>
                      <wpg:cNvGrpSpPr/>
                      <wpg:grpSpPr>
                        <a:xfrm>
                          <a:off x="0" y="0"/>
                          <a:ext cx="74295" cy="199390"/>
                          <a:chOff x="0" y="0"/>
                          <a:chExt cx="74295" cy="199390"/>
                        </a:xfrm>
                      </wpg:grpSpPr>
                      <wps:wsp>
                        <wps:cNvPr id="2255" name="Shape 2255"/>
                        <wps:cNvSpPr/>
                        <wps:spPr>
                          <a:xfrm>
                            <a:off x="0" y="0"/>
                            <a:ext cx="74295" cy="199390"/>
                          </a:xfrm>
                          <a:custGeom>
                            <a:avLst/>
                            <a:gdLst/>
                            <a:ahLst/>
                            <a:cxnLst/>
                            <a:rect l="0" t="0" r="0" b="0"/>
                            <a:pathLst>
                              <a:path w="74295" h="199390">
                                <a:moveTo>
                                  <a:pt x="62357" y="0"/>
                                </a:moveTo>
                                <a:lnTo>
                                  <a:pt x="68453" y="1397"/>
                                </a:lnTo>
                                <a:lnTo>
                                  <a:pt x="40254" y="125865"/>
                                </a:lnTo>
                                <a:lnTo>
                                  <a:pt x="74295" y="133604"/>
                                </a:lnTo>
                                <a:lnTo>
                                  <a:pt x="20320" y="199390"/>
                                </a:lnTo>
                                <a:lnTo>
                                  <a:pt x="0" y="116713"/>
                                </a:lnTo>
                                <a:lnTo>
                                  <a:pt x="34046" y="124454"/>
                                </a:lnTo>
                                <a:lnTo>
                                  <a:pt x="6235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7938" style="width:5.84999pt;height:15.7pt;mso-position-horizontal-relative:char;mso-position-vertical-relative:line" coordsize="742,1993">
                <v:shape id="Shape 2255" style="position:absolute;width:742;height:1993;left:0;top:0;" coordsize="74295,199390" path="m62357,0l68453,1397l40254,125865l74295,133604l20320,199390l0,116713l34046,124454l62357,0x">
                  <v:stroke weight="0pt" endcap="flat" joinstyle="miter" miterlimit="10" on="false" color="#000000" opacity="0"/>
                  <v:fill on="true" color="#5b9bd5"/>
                </v:shape>
              </v:group>
            </w:pict>
          </mc:Fallback>
        </mc:AlternateContent>
      </w:r>
    </w:p>
    <w:tbl>
      <w:tblPr>
        <w:tblStyle w:val="TableGrid"/>
        <w:tblW w:w="9540" w:type="dxa"/>
        <w:tblInd w:w="-181" w:type="dxa"/>
        <w:tblCellMar>
          <w:top w:w="0" w:type="dxa"/>
          <w:left w:w="0" w:type="dxa"/>
          <w:bottom w:w="0" w:type="dxa"/>
          <w:right w:w="0" w:type="dxa"/>
        </w:tblCellMar>
        <w:tblLook w:val="04A0" w:firstRow="1" w:lastRow="0" w:firstColumn="1" w:lastColumn="0" w:noHBand="0" w:noVBand="1"/>
      </w:tblPr>
      <w:tblGrid>
        <w:gridCol w:w="3382"/>
        <w:gridCol w:w="6669"/>
      </w:tblGrid>
      <w:tr w:rsidR="00410213">
        <w:trPr>
          <w:trHeight w:val="2805"/>
        </w:trPr>
        <w:tc>
          <w:tcPr>
            <w:tcW w:w="5130" w:type="dxa"/>
            <w:tcBorders>
              <w:top w:val="nil"/>
              <w:left w:val="nil"/>
              <w:bottom w:val="nil"/>
              <w:right w:val="nil"/>
            </w:tcBorders>
          </w:tcPr>
          <w:p w:rsidR="00410213" w:rsidRDefault="00410213">
            <w:pPr>
              <w:spacing w:after="0"/>
              <w:ind w:left="-1259" w:right="75"/>
            </w:pPr>
          </w:p>
          <w:tbl>
            <w:tblPr>
              <w:tblStyle w:val="TableGrid"/>
              <w:tblW w:w="5055" w:type="dxa"/>
              <w:tblInd w:w="0" w:type="dxa"/>
              <w:tblCellMar>
                <w:top w:w="334" w:type="dxa"/>
                <w:left w:w="172" w:type="dxa"/>
                <w:bottom w:w="0" w:type="dxa"/>
                <w:right w:w="87" w:type="dxa"/>
              </w:tblCellMar>
              <w:tblLook w:val="04A0" w:firstRow="1" w:lastRow="0" w:firstColumn="1" w:lastColumn="0" w:noHBand="0" w:noVBand="1"/>
            </w:tblPr>
            <w:tblGrid>
              <w:gridCol w:w="2397"/>
              <w:gridCol w:w="265"/>
              <w:gridCol w:w="2393"/>
            </w:tblGrid>
            <w:tr w:rsidR="00410213">
              <w:trPr>
                <w:trHeight w:val="2715"/>
              </w:trPr>
              <w:tc>
                <w:tcPr>
                  <w:tcW w:w="2430" w:type="dxa"/>
                  <w:tcBorders>
                    <w:top w:val="single" w:sz="8" w:space="0" w:color="70AD47"/>
                    <w:left w:val="single" w:sz="8" w:space="0" w:color="70AD47"/>
                    <w:bottom w:val="single" w:sz="8" w:space="0" w:color="70AD47"/>
                    <w:right w:val="single" w:sz="8" w:space="0" w:color="70AD47"/>
                  </w:tcBorders>
                  <w:vAlign w:val="center"/>
                </w:tcPr>
                <w:p w:rsidR="00410213" w:rsidRDefault="00D877C6">
                  <w:pPr>
                    <w:spacing w:after="0"/>
                    <w:ind w:left="10"/>
                  </w:pPr>
                  <w:r>
                    <w:rPr>
                      <w:rFonts w:ascii="Times New Roman" w:eastAsia="Times New Roman" w:hAnsi="Times New Roman" w:cs="Times New Roman"/>
                      <w:sz w:val="24"/>
                    </w:rPr>
                    <w:t xml:space="preserve"> </w:t>
                  </w:r>
                </w:p>
                <w:p w:rsidR="00410213" w:rsidRDefault="00D877C6">
                  <w:pPr>
                    <w:spacing w:after="52"/>
                    <w:ind w:right="85"/>
                    <w:jc w:val="center"/>
                  </w:pPr>
                  <w:r>
                    <w:t xml:space="preserve">Poor awareness on </w:t>
                  </w:r>
                </w:p>
                <w:p w:rsidR="00410213" w:rsidRDefault="00D877C6">
                  <w:pPr>
                    <w:spacing w:after="0" w:line="278" w:lineRule="auto"/>
                    <w:ind w:right="4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GBV and SRHR amongst women and </w:t>
                  </w:r>
                </w:p>
                <w:p w:rsidR="00410213" w:rsidRDefault="00D877C6">
                  <w:pPr>
                    <w:spacing w:after="70" w:line="256" w:lineRule="auto"/>
                    <w:jc w:val="center"/>
                  </w:pPr>
                  <w:r>
                    <w:t xml:space="preserve">girls in conflict affected settings </w:t>
                  </w:r>
                </w:p>
                <w:p w:rsidR="00410213" w:rsidRDefault="00D877C6">
                  <w:pPr>
                    <w:spacing w:after="0"/>
                    <w:ind w:left="10"/>
                  </w:pPr>
                  <w:r>
                    <w:rPr>
                      <w:rFonts w:ascii="Times New Roman" w:eastAsia="Times New Roman" w:hAnsi="Times New Roman" w:cs="Times New Roman"/>
                      <w:sz w:val="24"/>
                    </w:rPr>
                    <w:t xml:space="preserve"> </w:t>
                  </w:r>
                </w:p>
              </w:tc>
              <w:tc>
                <w:tcPr>
                  <w:tcW w:w="195" w:type="dxa"/>
                  <w:tcBorders>
                    <w:top w:val="nil"/>
                    <w:left w:val="single" w:sz="8" w:space="0" w:color="70AD47"/>
                    <w:bottom w:val="nil"/>
                    <w:right w:val="single" w:sz="8" w:space="0" w:color="70AD47"/>
                  </w:tcBorders>
                </w:tcPr>
                <w:p w:rsidR="00410213" w:rsidRDefault="00410213"/>
              </w:tc>
              <w:tc>
                <w:tcPr>
                  <w:tcW w:w="2430" w:type="dxa"/>
                  <w:tcBorders>
                    <w:top w:val="single" w:sz="8" w:space="0" w:color="70AD47"/>
                    <w:left w:val="single" w:sz="8" w:space="0" w:color="70AD47"/>
                    <w:bottom w:val="single" w:sz="8" w:space="0" w:color="70AD47"/>
                    <w:right w:val="single" w:sz="8" w:space="0" w:color="70AD47"/>
                  </w:tcBorders>
                </w:tcPr>
                <w:p w:rsidR="00410213" w:rsidRDefault="00D877C6">
                  <w:pPr>
                    <w:spacing w:after="2" w:line="256" w:lineRule="auto"/>
                    <w:jc w:val="center"/>
                  </w:pPr>
                  <w:r>
                    <w:t xml:space="preserve">Women and girls’ improved awareness </w:t>
                  </w:r>
                </w:p>
                <w:p w:rsidR="00410213" w:rsidRDefault="00D877C6">
                  <w:pPr>
                    <w:spacing w:after="28"/>
                    <w:ind w:left="16"/>
                  </w:pPr>
                  <w:r>
                    <w:t xml:space="preserve">on GBV and their SRHR </w:t>
                  </w:r>
                </w:p>
                <w:p w:rsidR="00410213" w:rsidRDefault="00D877C6">
                  <w:pPr>
                    <w:spacing w:after="10"/>
                    <w:ind w:left="131"/>
                  </w:pPr>
                  <w:r>
                    <w:t xml:space="preserve">in a conflict affected </w:t>
                  </w:r>
                  <w:r>
                    <w:rPr>
                      <w:rFonts w:ascii="Times New Roman" w:eastAsia="Times New Roman" w:hAnsi="Times New Roman" w:cs="Times New Roman"/>
                      <w:sz w:val="24"/>
                    </w:rPr>
                    <w:t xml:space="preserve"> </w:t>
                  </w:r>
                </w:p>
                <w:p w:rsidR="00410213" w:rsidRDefault="00D877C6">
                  <w:pPr>
                    <w:spacing w:after="0"/>
                    <w:ind w:right="85"/>
                    <w:jc w:val="center"/>
                  </w:pPr>
                  <w:r>
                    <w:t xml:space="preserve">setting  </w:t>
                  </w:r>
                </w:p>
              </w:tc>
            </w:tr>
          </w:tbl>
          <w:p w:rsidR="00410213" w:rsidRDefault="00410213"/>
        </w:tc>
        <w:tc>
          <w:tcPr>
            <w:tcW w:w="4410" w:type="dxa"/>
            <w:tcBorders>
              <w:top w:val="nil"/>
              <w:left w:val="nil"/>
              <w:bottom w:val="nil"/>
              <w:right w:val="nil"/>
            </w:tcBorders>
          </w:tcPr>
          <w:p w:rsidR="00410213" w:rsidRDefault="00410213">
            <w:pPr>
              <w:spacing w:after="0"/>
              <w:ind w:left="-6389" w:right="10799"/>
            </w:pPr>
          </w:p>
          <w:tbl>
            <w:tblPr>
              <w:tblStyle w:val="TableGrid"/>
              <w:tblW w:w="4335" w:type="dxa"/>
              <w:tblInd w:w="75" w:type="dxa"/>
              <w:tblCellMar>
                <w:top w:w="125" w:type="dxa"/>
                <w:left w:w="154" w:type="dxa"/>
                <w:bottom w:w="0" w:type="dxa"/>
                <w:right w:w="115" w:type="dxa"/>
              </w:tblCellMar>
              <w:tblLook w:val="04A0" w:firstRow="1" w:lastRow="0" w:firstColumn="1" w:lastColumn="0" w:noHBand="0" w:noVBand="1"/>
            </w:tblPr>
            <w:tblGrid>
              <w:gridCol w:w="4335"/>
            </w:tblGrid>
            <w:tr w:rsidR="00410213">
              <w:trPr>
                <w:trHeight w:val="2805"/>
              </w:trPr>
              <w:tc>
                <w:tcPr>
                  <w:tcW w:w="4335" w:type="dxa"/>
                  <w:tcBorders>
                    <w:top w:val="single" w:sz="8" w:space="0" w:color="70AD47"/>
                    <w:left w:val="single" w:sz="8" w:space="0" w:color="70AD47"/>
                    <w:bottom w:val="single" w:sz="8" w:space="0" w:color="70AD47"/>
                    <w:right w:val="single" w:sz="8" w:space="0" w:color="70AD47"/>
                  </w:tcBorders>
                </w:tcPr>
                <w:p w:rsidR="00410213" w:rsidRDefault="00D877C6">
                  <w:pPr>
                    <w:spacing w:after="1" w:line="239" w:lineRule="auto"/>
                  </w:pPr>
                  <w:r>
                    <w:t xml:space="preserve">-Women and girls’ education on GBV and their SRHR </w:t>
                  </w:r>
                </w:p>
                <w:p w:rsidR="00410213" w:rsidRDefault="00D877C6">
                  <w:pPr>
                    <w:spacing w:after="0" w:line="239" w:lineRule="auto"/>
                  </w:pPr>
                  <w:r>
                    <w:t xml:space="preserve">-Community mobilization and awareness raising, that also targets men and boys -Engagement and commitment enactment by community leaders through championing change </w:t>
                  </w:r>
                </w:p>
                <w:p w:rsidR="00410213" w:rsidRDefault="00D877C6">
                  <w:pPr>
                    <w:spacing w:after="0" w:line="239" w:lineRule="auto"/>
                  </w:pPr>
                  <w:r>
                    <w:t>-</w:t>
                  </w:r>
                  <w:r>
                    <w:t xml:space="preserve">Recommendations on existing community victim support structures and creation of </w:t>
                  </w:r>
                </w:p>
                <w:p w:rsidR="00410213" w:rsidRDefault="00D877C6">
                  <w:pPr>
                    <w:spacing w:after="0"/>
                  </w:pPr>
                  <w:r>
                    <w:t xml:space="preserve">new ones where possible  </w:t>
                  </w:r>
                </w:p>
              </w:tc>
            </w:tr>
          </w:tbl>
          <w:p w:rsidR="00410213" w:rsidRDefault="00410213"/>
        </w:tc>
      </w:tr>
    </w:tbl>
    <w:p w:rsidR="00410213" w:rsidRDefault="00D877C6">
      <w:pPr>
        <w:spacing w:after="154"/>
        <w:ind w:left="-5" w:right="413" w:hanging="10"/>
      </w:pPr>
      <w:r>
        <w:rPr>
          <w:rFonts w:ascii="Times New Roman" w:eastAsia="Times New Roman" w:hAnsi="Times New Roman" w:cs="Times New Roman"/>
          <w:sz w:val="24"/>
        </w:rPr>
        <w:t xml:space="preserve">Figure 1. SCI Implementation Strategy/Theory of Change </w:t>
      </w:r>
    </w:p>
    <w:p w:rsidR="00410213" w:rsidRDefault="00D877C6">
      <w:pPr>
        <w:spacing w:after="154" w:line="363" w:lineRule="auto"/>
        <w:ind w:left="-5" w:right="413" w:hanging="10"/>
      </w:pPr>
      <w:r>
        <w:rPr>
          <w:rFonts w:ascii="Times New Roman" w:eastAsia="Times New Roman" w:hAnsi="Times New Roman" w:cs="Times New Roman"/>
          <w:sz w:val="24"/>
        </w:rPr>
        <w:t xml:space="preserve">From the literature review elaborated in chapter two, women and girls in Fako Division have poor awareness of GBV and their SRHR. However, by understanding that this needs to change by </w:t>
      </w:r>
      <w:r>
        <w:rPr>
          <w:rFonts w:ascii="Times New Roman" w:eastAsia="Times New Roman" w:hAnsi="Times New Roman" w:cs="Times New Roman"/>
          <w:sz w:val="24"/>
        </w:rPr>
        <w:lastRenderedPageBreak/>
        <w:t>unfreezing and addressing individual lack of self-esteem and courage to</w:t>
      </w:r>
      <w:r>
        <w:rPr>
          <w:rFonts w:ascii="Times New Roman" w:eastAsia="Times New Roman" w:hAnsi="Times New Roman" w:cs="Times New Roman"/>
          <w:sz w:val="24"/>
        </w:rPr>
        <w:t xml:space="preserve"> stand up for their rights, through education on GBV and SRHR pushed through a transition stage of an expected outcome (improved SRHR awareness and decreased GBV/SRHR violations prevalence). To broaden the impact and addressing interpersonal gaps, the enti</w:t>
      </w:r>
      <w:r>
        <w:rPr>
          <w:rFonts w:ascii="Times New Roman" w:eastAsia="Times New Roman" w:hAnsi="Times New Roman" w:cs="Times New Roman"/>
          <w:sz w:val="24"/>
        </w:rPr>
        <w:t>re community is involved through mobilization and awareness raising that incorporates media coverage and community campaigns. Additionally, sustainability is upheld by ensuring community norms are gender equitable and victims have accessible support struct</w:t>
      </w:r>
      <w:r>
        <w:rPr>
          <w:rFonts w:ascii="Times New Roman" w:eastAsia="Times New Roman" w:hAnsi="Times New Roman" w:cs="Times New Roman"/>
          <w:sz w:val="24"/>
        </w:rPr>
        <w:t xml:space="preserve">ures from existing female and male community leaders.   </w:t>
      </w:r>
    </w:p>
    <w:p w:rsidR="00410213" w:rsidRDefault="00D877C6">
      <w:pPr>
        <w:spacing w:after="154" w:line="363" w:lineRule="auto"/>
        <w:ind w:left="-5" w:right="413" w:hanging="10"/>
      </w:pPr>
      <w:r>
        <w:rPr>
          <w:rFonts w:ascii="Times New Roman" w:eastAsia="Times New Roman" w:hAnsi="Times New Roman" w:cs="Times New Roman"/>
          <w:sz w:val="24"/>
        </w:rPr>
        <w:t>In alignment to the SRHR Alliance’s Theory of Change which is based on the multi-component conviction approach of realising most effective results, this SCI project integrated three change components</w:t>
      </w:r>
      <w:r>
        <w:rPr>
          <w:rFonts w:ascii="Times New Roman" w:eastAsia="Times New Roman" w:hAnsi="Times New Roman" w:cs="Times New Roman"/>
          <w:sz w:val="24"/>
        </w:rPr>
        <w:t xml:space="preserve"> from the Alliance’s change theory, which includes; increasing SRHR supply, increasing SRHR demand and creating an enabling environment by increasing SRHR support. </w:t>
      </w:r>
    </w:p>
    <w:p w:rsidR="00410213" w:rsidRDefault="00D877C6">
      <w:pPr>
        <w:spacing w:after="42" w:line="363" w:lineRule="auto"/>
        <w:ind w:left="-5" w:right="413" w:hanging="10"/>
      </w:pPr>
      <w:r>
        <w:rPr>
          <w:rFonts w:ascii="Times New Roman" w:eastAsia="Times New Roman" w:hAnsi="Times New Roman" w:cs="Times New Roman"/>
          <w:sz w:val="24"/>
        </w:rPr>
        <w:t xml:space="preserve">This project primarily worked with community leaders and influencers in the community as a </w:t>
      </w:r>
      <w:r>
        <w:rPr>
          <w:rFonts w:ascii="Times New Roman" w:eastAsia="Times New Roman" w:hAnsi="Times New Roman" w:cs="Times New Roman"/>
          <w:sz w:val="24"/>
        </w:rPr>
        <w:t xml:space="preserve">means for effective and sustainable change. The three change components from the SRHR </w:t>
      </w:r>
    </w:p>
    <w:p w:rsidR="00410213" w:rsidRDefault="00D877C6">
      <w:pPr>
        <w:spacing w:after="277"/>
        <w:ind w:left="-5" w:right="413" w:hanging="10"/>
      </w:pPr>
      <w:r>
        <w:rPr>
          <w:rFonts w:ascii="Times New Roman" w:eastAsia="Times New Roman" w:hAnsi="Times New Roman" w:cs="Times New Roman"/>
          <w:sz w:val="24"/>
        </w:rPr>
        <w:t xml:space="preserve">Alliance’s Theory of change utilized were; </w:t>
      </w:r>
    </w:p>
    <w:p w:rsidR="00410213" w:rsidRDefault="00D877C6">
      <w:pPr>
        <w:tabs>
          <w:tab w:val="center" w:pos="296"/>
          <w:tab w:val="center" w:pos="2762"/>
        </w:tabs>
        <w:spacing w:after="281" w:line="258" w:lineRule="auto"/>
      </w:pPr>
      <w:r>
        <w:tab/>
      </w:r>
      <w:r>
        <w:rPr>
          <w:rFonts w:ascii="Times New Roman" w:eastAsia="Times New Roman" w:hAnsi="Times New Roman" w:cs="Times New Roman"/>
          <w:b/>
          <w:sz w:val="24"/>
        </w:rPr>
        <w:t>i.</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Increasing SRHR and non-GBV Supply </w:t>
      </w:r>
    </w:p>
    <w:p w:rsidR="00410213" w:rsidRDefault="00D877C6">
      <w:pPr>
        <w:spacing w:after="154" w:line="363" w:lineRule="auto"/>
        <w:ind w:left="-5" w:right="413" w:hanging="10"/>
      </w:pPr>
      <w:r>
        <w:rPr>
          <w:rFonts w:ascii="Times New Roman" w:eastAsia="Times New Roman" w:hAnsi="Times New Roman" w:cs="Times New Roman"/>
          <w:sz w:val="24"/>
        </w:rPr>
        <w:t xml:space="preserve">A focus group discussion was conducted with 20 internally displaced persons (IDPs) </w:t>
      </w:r>
      <w:r>
        <w:rPr>
          <w:rFonts w:ascii="Times New Roman" w:eastAsia="Times New Roman" w:hAnsi="Times New Roman" w:cs="Times New Roman"/>
          <w:sz w:val="24"/>
        </w:rPr>
        <w:t xml:space="preserve">(women and girls) and survivors of GBV and SRHR violation. This was aimed at obtaining in-depth information on concepts, perceptions and issues emanating from Gender Based Violence and Sexual Reproductive Health Rights as experienced by women and girls in </w:t>
      </w:r>
      <w:r>
        <w:rPr>
          <w:rFonts w:ascii="Times New Roman" w:eastAsia="Times New Roman" w:hAnsi="Times New Roman" w:cs="Times New Roman"/>
          <w:sz w:val="24"/>
        </w:rPr>
        <w:t>the conflict-affected Mile 16 community and Fako division in general; raise awareness about the negative implications that violence, abuse and the non-respect of women’s SRHR, have on women and girls in such a conflict-setting. The FGD was utilized as a to</w:t>
      </w:r>
      <w:r>
        <w:rPr>
          <w:rFonts w:ascii="Times New Roman" w:eastAsia="Times New Roman" w:hAnsi="Times New Roman" w:cs="Times New Roman"/>
          <w:sz w:val="24"/>
        </w:rPr>
        <w:t>ol and opportunity to create a coalition team of experts in that community, who could handle various cases and be a medium in the community in which persons suffering from GBV could easily lay a complaint and specific actions undertaken. As an adjunct, edu</w:t>
      </w:r>
      <w:r>
        <w:rPr>
          <w:rFonts w:ascii="Times New Roman" w:eastAsia="Times New Roman" w:hAnsi="Times New Roman" w:cs="Times New Roman"/>
          <w:sz w:val="24"/>
        </w:rPr>
        <w:t xml:space="preserve">cation on SRHR and GBV was later provided to community leaders, women groups, TV and radio stations most listed by the indigenes, and churches.  </w:t>
      </w:r>
    </w:p>
    <w:p w:rsidR="00410213" w:rsidRDefault="00D877C6">
      <w:pPr>
        <w:numPr>
          <w:ilvl w:val="0"/>
          <w:numId w:val="6"/>
        </w:numPr>
        <w:spacing w:after="281" w:line="258" w:lineRule="auto"/>
        <w:ind w:hanging="619"/>
      </w:pPr>
      <w:r>
        <w:rPr>
          <w:rFonts w:ascii="Times New Roman" w:eastAsia="Times New Roman" w:hAnsi="Times New Roman" w:cs="Times New Roman"/>
          <w:b/>
          <w:sz w:val="24"/>
        </w:rPr>
        <w:t xml:space="preserve">Increasing SRHR and non-GBV Demand </w:t>
      </w:r>
    </w:p>
    <w:p w:rsidR="00410213" w:rsidRDefault="00D877C6">
      <w:pPr>
        <w:spacing w:after="154" w:line="363" w:lineRule="auto"/>
        <w:ind w:left="-5" w:right="413" w:hanging="10"/>
      </w:pPr>
      <w:r>
        <w:rPr>
          <w:rFonts w:ascii="Times New Roman" w:eastAsia="Times New Roman" w:hAnsi="Times New Roman" w:cs="Times New Roman"/>
          <w:sz w:val="24"/>
        </w:rPr>
        <w:t xml:space="preserve">Through mass sensitization at churches on the importance of power balance </w:t>
      </w:r>
      <w:r>
        <w:rPr>
          <w:rFonts w:ascii="Times New Roman" w:eastAsia="Times New Roman" w:hAnsi="Times New Roman" w:cs="Times New Roman"/>
          <w:sz w:val="24"/>
        </w:rPr>
        <w:t>and deconstruing patriarchy, most male participants and community leaders requested for awareness raising at their social groups, as they had buy-in and could equally encourage their partners to engage in such awareness raising. These men acted as champion</w:t>
      </w:r>
      <w:r>
        <w:rPr>
          <w:rFonts w:ascii="Times New Roman" w:eastAsia="Times New Roman" w:hAnsi="Times New Roman" w:cs="Times New Roman"/>
          <w:sz w:val="24"/>
        </w:rPr>
        <w:t xml:space="preserve">s, and even requested that more sessions should </w:t>
      </w:r>
      <w:r>
        <w:rPr>
          <w:rFonts w:ascii="Times New Roman" w:eastAsia="Times New Roman" w:hAnsi="Times New Roman" w:cs="Times New Roman"/>
          <w:sz w:val="24"/>
        </w:rPr>
        <w:lastRenderedPageBreak/>
        <w:t>be held across the community. Women leaders and chiefs through their existing structures, acted as supportive constructs, with enforcement of punishment of violators of women’s rights across social groups, an</w:t>
      </w:r>
      <w:r>
        <w:rPr>
          <w:rFonts w:ascii="Times New Roman" w:eastAsia="Times New Roman" w:hAnsi="Times New Roman" w:cs="Times New Roman"/>
          <w:sz w:val="24"/>
        </w:rPr>
        <w:t xml:space="preserve">d their platforms as supportive referral structures for victims of SRHR violation and GBV. </w:t>
      </w:r>
    </w:p>
    <w:p w:rsidR="00410213" w:rsidRDefault="00D877C6">
      <w:pPr>
        <w:numPr>
          <w:ilvl w:val="0"/>
          <w:numId w:val="6"/>
        </w:numPr>
        <w:spacing w:after="281" w:line="258" w:lineRule="auto"/>
        <w:ind w:hanging="619"/>
      </w:pPr>
      <w:r>
        <w:rPr>
          <w:rFonts w:ascii="Times New Roman" w:eastAsia="Times New Roman" w:hAnsi="Times New Roman" w:cs="Times New Roman"/>
          <w:b/>
          <w:sz w:val="24"/>
        </w:rPr>
        <w:t xml:space="preserve">Creating an Enabling Environment by Increasing SRHR and non-GBV Support </w:t>
      </w:r>
    </w:p>
    <w:p w:rsidR="00410213" w:rsidRDefault="00D877C6">
      <w:pPr>
        <w:spacing w:after="238" w:line="363" w:lineRule="auto"/>
        <w:ind w:left="-5" w:right="413" w:hanging="10"/>
      </w:pPr>
      <w:r>
        <w:rPr>
          <w:rFonts w:ascii="Times New Roman" w:eastAsia="Times New Roman" w:hAnsi="Times New Roman" w:cs="Times New Roman"/>
          <w:sz w:val="24"/>
        </w:rPr>
        <w:t>Women were encouraged to engage in financial empowering activities to boost their financial</w:t>
      </w:r>
      <w:r>
        <w:rPr>
          <w:rFonts w:ascii="Times New Roman" w:eastAsia="Times New Roman" w:hAnsi="Times New Roman" w:cs="Times New Roman"/>
          <w:sz w:val="24"/>
        </w:rPr>
        <w:t xml:space="preserve"> autonomy and reduce vulnerabilities. The education provided to these women and girls also incorporated being each other’s keepers. Due to championing by women group leaders and influential male community leaders on the fight against GBV and women/girls’ S</w:t>
      </w:r>
      <w:r>
        <w:rPr>
          <w:rFonts w:ascii="Times New Roman" w:eastAsia="Times New Roman" w:hAnsi="Times New Roman" w:cs="Times New Roman"/>
          <w:sz w:val="24"/>
        </w:rPr>
        <w:t>RHR violation, they announced their structures as supportive platforms for victims and enactment of punishments to violators. The church also acted as a supportive structure and primary referral, including the chief and women group leaders who were so pass</w:t>
      </w:r>
      <w:r>
        <w:rPr>
          <w:rFonts w:ascii="Times New Roman" w:eastAsia="Times New Roman" w:hAnsi="Times New Roman" w:cs="Times New Roman"/>
          <w:sz w:val="24"/>
        </w:rPr>
        <w:t xml:space="preserve">ionate about ending the suffering victims faced in the ongoing conflict. </w:t>
      </w:r>
    </w:p>
    <w:p w:rsidR="00410213" w:rsidRDefault="00D877C6">
      <w:pPr>
        <w:pStyle w:val="Heading1"/>
        <w:ind w:left="355" w:right="0"/>
      </w:pPr>
      <w:bookmarkStart w:id="13" w:name="_Toc30309"/>
      <w:r>
        <w:t>4.</w:t>
      </w:r>
      <w:r>
        <w:rPr>
          <w:rFonts w:ascii="Arial" w:eastAsia="Arial" w:hAnsi="Arial" w:cs="Arial"/>
        </w:rPr>
        <w:t xml:space="preserve"> </w:t>
      </w:r>
      <w:r>
        <w:t xml:space="preserve">METHODS AND DESIGN </w:t>
      </w:r>
      <w:bookmarkEnd w:id="13"/>
    </w:p>
    <w:p w:rsidR="00410213" w:rsidRDefault="00D877C6">
      <w:pPr>
        <w:spacing w:after="154" w:line="363" w:lineRule="auto"/>
        <w:ind w:left="-5" w:right="413" w:hanging="10"/>
      </w:pPr>
      <w:r>
        <w:rPr>
          <w:rFonts w:ascii="Times New Roman" w:eastAsia="Times New Roman" w:hAnsi="Times New Roman" w:cs="Times New Roman"/>
          <w:sz w:val="24"/>
        </w:rPr>
        <w:t>A sequential study design was used comprising of a cross-sectional review of literature to help identify gaps on which the intervention study will be developed</w:t>
      </w:r>
      <w:r>
        <w:rPr>
          <w:rFonts w:ascii="Times New Roman" w:eastAsia="Times New Roman" w:hAnsi="Times New Roman" w:cs="Times New Roman"/>
          <w:sz w:val="24"/>
        </w:rPr>
        <w:t>, and a community-based education campaign on GBV and women’s SRHR. Implementation took three months (May, June, July) and participants included all men and women in most conflict-affected hit areas of Fako Division (including one-to-one focused GBV/SRHR s</w:t>
      </w:r>
      <w:r>
        <w:rPr>
          <w:rFonts w:ascii="Times New Roman" w:eastAsia="Times New Roman" w:hAnsi="Times New Roman" w:cs="Times New Roman"/>
          <w:sz w:val="24"/>
        </w:rPr>
        <w:t xml:space="preserve">ensitisation at Mile-16 community), Southwest region of Cameroon.  </w:t>
      </w:r>
    </w:p>
    <w:p w:rsidR="00410213" w:rsidRDefault="00D877C6">
      <w:pPr>
        <w:spacing w:after="273"/>
        <w:ind w:left="-5" w:right="413" w:hanging="10"/>
      </w:pPr>
      <w:r>
        <w:rPr>
          <w:rFonts w:ascii="Times New Roman" w:eastAsia="Times New Roman" w:hAnsi="Times New Roman" w:cs="Times New Roman"/>
          <w:sz w:val="24"/>
        </w:rPr>
        <w:t xml:space="preserve">The targeted sample size was; </w:t>
      </w:r>
    </w:p>
    <w:p w:rsidR="00410213" w:rsidRDefault="00D877C6">
      <w:pPr>
        <w:spacing w:after="273"/>
        <w:ind w:left="-5" w:right="413" w:hanging="10"/>
      </w:pPr>
      <w:r>
        <w:rPr>
          <w:rFonts w:ascii="Times New Roman" w:eastAsia="Times New Roman" w:hAnsi="Times New Roman" w:cs="Times New Roman"/>
          <w:sz w:val="24"/>
        </w:rPr>
        <w:t xml:space="preserve">-Minimum 20 community leaders as champions of SRHR and GBV </w:t>
      </w:r>
    </w:p>
    <w:p w:rsidR="00410213" w:rsidRDefault="00D877C6">
      <w:pPr>
        <w:spacing w:after="154" w:line="363" w:lineRule="auto"/>
        <w:ind w:left="-5" w:right="413" w:hanging="10"/>
      </w:pPr>
      <w:r>
        <w:rPr>
          <w:rFonts w:ascii="Times New Roman" w:eastAsia="Times New Roman" w:hAnsi="Times New Roman" w:cs="Times New Roman"/>
          <w:sz w:val="24"/>
        </w:rPr>
        <w:t>-</w:t>
      </w:r>
      <w:r>
        <w:rPr>
          <w:rFonts w:ascii="Times New Roman" w:eastAsia="Times New Roman" w:hAnsi="Times New Roman" w:cs="Times New Roman"/>
          <w:sz w:val="24"/>
        </w:rPr>
        <w:t xml:space="preserve">Minimum 50 women and girls trained by GBV/SRHR expert volunteers on SRHR and GBV to enhance their awareness and </w:t>
      </w:r>
    </w:p>
    <w:p w:rsidR="00410213" w:rsidRDefault="00D877C6">
      <w:pPr>
        <w:spacing w:after="154" w:line="363" w:lineRule="auto"/>
        <w:ind w:left="-5" w:right="413" w:hanging="10"/>
      </w:pPr>
      <w:r>
        <w:rPr>
          <w:rFonts w:ascii="Times New Roman" w:eastAsia="Times New Roman" w:hAnsi="Times New Roman" w:cs="Times New Roman"/>
          <w:sz w:val="24"/>
        </w:rPr>
        <w:t xml:space="preserve">-Minimum 200 community members (men, women, boys, girls) sensitised on SRHR and GBV for the campaign.  </w:t>
      </w:r>
    </w:p>
    <w:p w:rsidR="00410213" w:rsidRDefault="00D877C6">
      <w:pPr>
        <w:spacing w:after="154" w:line="363" w:lineRule="auto"/>
        <w:ind w:left="-5" w:right="413" w:hanging="10"/>
      </w:pPr>
      <w:r>
        <w:rPr>
          <w:rFonts w:ascii="Times New Roman" w:eastAsia="Times New Roman" w:hAnsi="Times New Roman" w:cs="Times New Roman"/>
          <w:sz w:val="24"/>
        </w:rPr>
        <w:t>- A Focus Group Discussion aimed at imm</w:t>
      </w:r>
      <w:r>
        <w:rPr>
          <w:rFonts w:ascii="Times New Roman" w:eastAsia="Times New Roman" w:hAnsi="Times New Roman" w:cs="Times New Roman"/>
          <w:sz w:val="24"/>
        </w:rPr>
        <w:t xml:space="preserve">ediate impact evaluation to assess improved knowledge and willingness of community members to support GBV victims and champion change.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2"/>
        <w:tabs>
          <w:tab w:val="center" w:pos="283"/>
          <w:tab w:val="center" w:pos="1834"/>
        </w:tabs>
        <w:spacing w:after="1"/>
        <w:ind w:left="0" w:right="0" w:firstLine="0"/>
      </w:pPr>
      <w:bookmarkStart w:id="14" w:name="_Toc30310"/>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 xml:space="preserve">Preparatory activities </w:t>
      </w:r>
      <w:bookmarkEnd w:id="14"/>
    </w:p>
    <w:p w:rsidR="00410213" w:rsidRDefault="00D877C6">
      <w:pPr>
        <w:spacing w:after="178"/>
      </w:pPr>
      <w:r>
        <w:t xml:space="preserve"> </w:t>
      </w:r>
    </w:p>
    <w:p w:rsidR="00410213" w:rsidRDefault="00D877C6">
      <w:pPr>
        <w:numPr>
          <w:ilvl w:val="0"/>
          <w:numId w:val="7"/>
        </w:numPr>
        <w:spacing w:after="274" w:line="258" w:lineRule="auto"/>
        <w:ind w:hanging="360"/>
      </w:pPr>
      <w:r>
        <w:rPr>
          <w:rFonts w:ascii="Times New Roman" w:eastAsia="Times New Roman" w:hAnsi="Times New Roman" w:cs="Times New Roman"/>
          <w:b/>
          <w:sz w:val="24"/>
        </w:rPr>
        <w:lastRenderedPageBreak/>
        <w:t xml:space="preserve">Recruitment and Training of Volunteers </w:t>
      </w:r>
    </w:p>
    <w:p w:rsidR="00410213" w:rsidRDefault="00D877C6">
      <w:pPr>
        <w:spacing w:after="154" w:line="363" w:lineRule="auto"/>
        <w:ind w:left="-5" w:right="413" w:hanging="10"/>
      </w:pPr>
      <w:r>
        <w:rPr>
          <w:rFonts w:ascii="Times New Roman" w:eastAsia="Times New Roman" w:hAnsi="Times New Roman" w:cs="Times New Roman"/>
          <w:sz w:val="24"/>
        </w:rPr>
        <w:t>Four volunteers were recruited to foster accessibility: two with expertise in SRHR and GBV and prior experience in the Mile 16 community, and two community focal points/mobilisers who lived in the Mile-16 community, acted as community entry points and fost</w:t>
      </w:r>
      <w:r>
        <w:rPr>
          <w:rFonts w:ascii="Times New Roman" w:eastAsia="Times New Roman" w:hAnsi="Times New Roman" w:cs="Times New Roman"/>
          <w:sz w:val="24"/>
        </w:rPr>
        <w:t>ered access to social groups, leaders, and indigenes. The SRHR/GBV community volunteer experts received reinforced training on SRHR and GBV from the Rotary Peace fellow, the SCI project and community sensitivities by the Rotary Fellow, and the expert commu</w:t>
      </w:r>
      <w:r>
        <w:rPr>
          <w:rFonts w:ascii="Times New Roman" w:eastAsia="Times New Roman" w:hAnsi="Times New Roman" w:cs="Times New Roman"/>
          <w:sz w:val="24"/>
        </w:rPr>
        <w:t xml:space="preserve">nity volunteers conducted one-to-one training on focal points covering topics such as community mobilization, culture and GBV sensitivities. </w:t>
      </w:r>
    </w:p>
    <w:p w:rsidR="00410213" w:rsidRDefault="00D877C6">
      <w:pPr>
        <w:numPr>
          <w:ilvl w:val="0"/>
          <w:numId w:val="7"/>
        </w:numPr>
        <w:spacing w:after="274" w:line="258" w:lineRule="auto"/>
        <w:ind w:hanging="360"/>
      </w:pPr>
      <w:r>
        <w:rPr>
          <w:rFonts w:ascii="Times New Roman" w:eastAsia="Times New Roman" w:hAnsi="Times New Roman" w:cs="Times New Roman"/>
          <w:b/>
          <w:sz w:val="24"/>
        </w:rPr>
        <w:t xml:space="preserve">Community mobilisation </w:t>
      </w:r>
    </w:p>
    <w:p w:rsidR="00410213" w:rsidRDefault="00D877C6">
      <w:pPr>
        <w:spacing w:after="154" w:line="363" w:lineRule="auto"/>
        <w:ind w:left="-5" w:right="413" w:hanging="10"/>
      </w:pPr>
      <w:r>
        <w:rPr>
          <w:rFonts w:ascii="Times New Roman" w:eastAsia="Times New Roman" w:hAnsi="Times New Roman" w:cs="Times New Roman"/>
          <w:sz w:val="24"/>
        </w:rPr>
        <w:t xml:space="preserve">The community focal points provided carried out prior visits to and obtained consent from </w:t>
      </w:r>
      <w:r>
        <w:rPr>
          <w:rFonts w:ascii="Times New Roman" w:eastAsia="Times New Roman" w:hAnsi="Times New Roman" w:cs="Times New Roman"/>
          <w:sz w:val="24"/>
        </w:rPr>
        <w:t xml:space="preserve">community leaders and social group heads such as chiefs and women group leaders, ensuring their presence and setting a schedule for the sensitisation. This also included consent from the lead of the Catholic church.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6"/>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4"/>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2"/>
        <w:tabs>
          <w:tab w:val="center" w:pos="1736"/>
        </w:tabs>
        <w:spacing w:after="1"/>
        <w:ind w:left="0" w:right="0" w:firstLine="0"/>
      </w:pPr>
      <w:bookmarkStart w:id="15" w:name="_Toc30311"/>
      <w:r>
        <w:t>II.</w:t>
      </w:r>
      <w:r>
        <w:rPr>
          <w:rFonts w:ascii="Arial" w:eastAsia="Arial" w:hAnsi="Arial" w:cs="Arial"/>
        </w:rPr>
        <w:t xml:space="preserve"> </w:t>
      </w:r>
      <w:r>
        <w:rPr>
          <w:rFonts w:ascii="Arial" w:eastAsia="Arial" w:hAnsi="Arial" w:cs="Arial"/>
        </w:rPr>
        <w:tab/>
      </w:r>
      <w:r>
        <w:t>Logical Fra</w:t>
      </w:r>
      <w:r>
        <w:t xml:space="preserve">mework </w:t>
      </w:r>
      <w:bookmarkEnd w:id="15"/>
    </w:p>
    <w:tbl>
      <w:tblPr>
        <w:tblStyle w:val="TableGrid"/>
        <w:tblW w:w="10210" w:type="dxa"/>
        <w:tblInd w:w="-284" w:type="dxa"/>
        <w:tblCellMar>
          <w:top w:w="14" w:type="dxa"/>
          <w:left w:w="108" w:type="dxa"/>
          <w:bottom w:w="0" w:type="dxa"/>
          <w:right w:w="48" w:type="dxa"/>
        </w:tblCellMar>
        <w:tblLook w:val="04A0" w:firstRow="1" w:lastRow="0" w:firstColumn="1" w:lastColumn="0" w:noHBand="0" w:noVBand="1"/>
      </w:tblPr>
      <w:tblGrid>
        <w:gridCol w:w="2444"/>
        <w:gridCol w:w="2093"/>
        <w:gridCol w:w="1844"/>
        <w:gridCol w:w="1985"/>
        <w:gridCol w:w="1844"/>
      </w:tblGrid>
      <w:tr w:rsidR="00410213">
        <w:trPr>
          <w:trHeight w:val="425"/>
        </w:trPr>
        <w:tc>
          <w:tcPr>
            <w:tcW w:w="2444" w:type="dxa"/>
            <w:tcBorders>
              <w:top w:val="single" w:sz="4" w:space="0" w:color="000000"/>
              <w:left w:val="single" w:sz="4" w:space="0" w:color="000000"/>
              <w:bottom w:val="single" w:sz="4" w:space="0" w:color="000000"/>
              <w:right w:val="single" w:sz="4" w:space="0" w:color="000000"/>
            </w:tcBorders>
          </w:tcPr>
          <w:p w:rsidR="00410213" w:rsidRDefault="00D877C6">
            <w:pPr>
              <w:tabs>
                <w:tab w:val="center" w:pos="121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Objective </w:t>
            </w:r>
          </w:p>
        </w:tc>
        <w:tc>
          <w:tcPr>
            <w:tcW w:w="2093" w:type="dxa"/>
            <w:tcBorders>
              <w:top w:val="single" w:sz="4" w:space="0" w:color="000000"/>
              <w:left w:val="single" w:sz="4" w:space="0" w:color="000000"/>
              <w:bottom w:val="single" w:sz="4" w:space="0" w:color="000000"/>
              <w:right w:val="single" w:sz="4" w:space="0" w:color="000000"/>
            </w:tcBorders>
          </w:tcPr>
          <w:p w:rsidR="00410213" w:rsidRDefault="00D877C6">
            <w:pPr>
              <w:spacing w:after="0"/>
              <w:ind w:left="1"/>
            </w:pPr>
            <w:r>
              <w:rPr>
                <w:rFonts w:ascii="Times New Roman" w:eastAsia="Times New Roman" w:hAnsi="Times New Roman" w:cs="Times New Roman"/>
                <w:sz w:val="24"/>
              </w:rPr>
              <w:t xml:space="preserve">Outputs </w:t>
            </w:r>
          </w:p>
        </w:tc>
        <w:tc>
          <w:tcPr>
            <w:tcW w:w="1844" w:type="dxa"/>
            <w:tcBorders>
              <w:top w:val="single" w:sz="4" w:space="0" w:color="000000"/>
              <w:left w:val="single" w:sz="4" w:space="0" w:color="000000"/>
              <w:bottom w:val="single" w:sz="4" w:space="0" w:color="000000"/>
              <w:right w:val="single" w:sz="4" w:space="0" w:color="000000"/>
            </w:tcBorders>
          </w:tcPr>
          <w:p w:rsidR="00410213" w:rsidRDefault="00D877C6">
            <w:pPr>
              <w:spacing w:after="0"/>
            </w:pPr>
            <w:r>
              <w:rPr>
                <w:rFonts w:ascii="Times New Roman" w:eastAsia="Times New Roman" w:hAnsi="Times New Roman" w:cs="Times New Roman"/>
                <w:sz w:val="24"/>
              </w:rPr>
              <w:t xml:space="preserve">Indicators </w:t>
            </w:r>
          </w:p>
        </w:tc>
        <w:tc>
          <w:tcPr>
            <w:tcW w:w="1985" w:type="dxa"/>
            <w:tcBorders>
              <w:top w:val="single" w:sz="4" w:space="0" w:color="000000"/>
              <w:left w:val="single" w:sz="4" w:space="0" w:color="000000"/>
              <w:bottom w:val="single" w:sz="4" w:space="0" w:color="000000"/>
              <w:right w:val="single" w:sz="4" w:space="0" w:color="000000"/>
            </w:tcBorders>
          </w:tcPr>
          <w:p w:rsidR="00410213" w:rsidRDefault="00D877C6">
            <w:pPr>
              <w:spacing w:after="0"/>
            </w:pPr>
            <w:r>
              <w:rPr>
                <w:rFonts w:ascii="Times New Roman" w:eastAsia="Times New Roman" w:hAnsi="Times New Roman" w:cs="Times New Roman"/>
                <w:sz w:val="24"/>
              </w:rPr>
              <w:t xml:space="preserve">Outcomes </w:t>
            </w:r>
          </w:p>
        </w:tc>
        <w:tc>
          <w:tcPr>
            <w:tcW w:w="1844" w:type="dxa"/>
            <w:tcBorders>
              <w:top w:val="single" w:sz="4" w:space="0" w:color="000000"/>
              <w:left w:val="single" w:sz="4" w:space="0" w:color="000000"/>
              <w:bottom w:val="single" w:sz="4" w:space="0" w:color="000000"/>
              <w:right w:val="single" w:sz="4" w:space="0" w:color="000000"/>
            </w:tcBorders>
          </w:tcPr>
          <w:p w:rsidR="00410213" w:rsidRDefault="00D877C6">
            <w:pPr>
              <w:spacing w:after="0"/>
            </w:pPr>
            <w:r>
              <w:rPr>
                <w:rFonts w:ascii="Times New Roman" w:eastAsia="Times New Roman" w:hAnsi="Times New Roman" w:cs="Times New Roman"/>
                <w:sz w:val="24"/>
              </w:rPr>
              <w:t xml:space="preserve">Impact </w:t>
            </w:r>
          </w:p>
        </w:tc>
      </w:tr>
      <w:tr w:rsidR="00410213">
        <w:trPr>
          <w:trHeight w:val="3735"/>
        </w:trPr>
        <w:tc>
          <w:tcPr>
            <w:tcW w:w="2444" w:type="dxa"/>
            <w:vMerge w:val="restart"/>
            <w:tcBorders>
              <w:top w:val="single" w:sz="4" w:space="0" w:color="000000"/>
              <w:left w:val="single" w:sz="4" w:space="0" w:color="000000"/>
              <w:bottom w:val="single" w:sz="4" w:space="0" w:color="000000"/>
              <w:right w:val="single" w:sz="4" w:space="0" w:color="000000"/>
            </w:tcBorders>
          </w:tcPr>
          <w:p w:rsidR="00410213" w:rsidRDefault="00D877C6">
            <w:pPr>
              <w:spacing w:after="0" w:line="357" w:lineRule="auto"/>
              <w:ind w:right="51"/>
            </w:pPr>
            <w:r>
              <w:rPr>
                <w:rFonts w:ascii="Times New Roman" w:eastAsia="Times New Roman" w:hAnsi="Times New Roman" w:cs="Times New Roman"/>
                <w:sz w:val="24"/>
              </w:rPr>
              <w:lastRenderedPageBreak/>
              <w:t xml:space="preserve">Improved awareness of SRHR and GBV among Women and </w:t>
            </w:r>
          </w:p>
          <w:p w:rsidR="00410213" w:rsidRDefault="00D877C6">
            <w:pPr>
              <w:spacing w:after="0"/>
            </w:pPr>
            <w:r>
              <w:rPr>
                <w:rFonts w:ascii="Times New Roman" w:eastAsia="Times New Roman" w:hAnsi="Times New Roman" w:cs="Times New Roman"/>
                <w:sz w:val="24"/>
              </w:rPr>
              <w:t xml:space="preserve">Girls in Fako Division </w:t>
            </w:r>
          </w:p>
        </w:tc>
        <w:tc>
          <w:tcPr>
            <w:tcW w:w="2093" w:type="dxa"/>
            <w:tcBorders>
              <w:top w:val="single" w:sz="4" w:space="0" w:color="000000"/>
              <w:left w:val="single" w:sz="4" w:space="0" w:color="000000"/>
              <w:bottom w:val="single" w:sz="4" w:space="0" w:color="000000"/>
              <w:right w:val="single" w:sz="4" w:space="0" w:color="000000"/>
            </w:tcBorders>
          </w:tcPr>
          <w:p w:rsidR="00410213" w:rsidRDefault="00D877C6">
            <w:pPr>
              <w:spacing w:after="112"/>
              <w:ind w:left="1"/>
            </w:pPr>
            <w:r>
              <w:rPr>
                <w:rFonts w:ascii="Times New Roman" w:eastAsia="Times New Roman" w:hAnsi="Times New Roman" w:cs="Times New Roman"/>
                <w:sz w:val="24"/>
              </w:rPr>
              <w:t xml:space="preserve">50 women and </w:t>
            </w:r>
          </w:p>
          <w:p w:rsidR="00410213" w:rsidRDefault="00D877C6">
            <w:pPr>
              <w:spacing w:after="115"/>
              <w:ind w:left="1"/>
            </w:pPr>
            <w:r>
              <w:rPr>
                <w:rFonts w:ascii="Times New Roman" w:eastAsia="Times New Roman" w:hAnsi="Times New Roman" w:cs="Times New Roman"/>
                <w:sz w:val="24"/>
              </w:rPr>
              <w:t xml:space="preserve">girls trained on </w:t>
            </w:r>
          </w:p>
          <w:p w:rsidR="00410213" w:rsidRDefault="00D877C6">
            <w:pPr>
              <w:spacing w:after="0"/>
              <w:ind w:left="1"/>
            </w:pPr>
            <w:r>
              <w:rPr>
                <w:rFonts w:ascii="Times New Roman" w:eastAsia="Times New Roman" w:hAnsi="Times New Roman" w:cs="Times New Roman"/>
                <w:sz w:val="24"/>
              </w:rPr>
              <w:t xml:space="preserve">GBV and SRHR </w:t>
            </w:r>
          </w:p>
        </w:tc>
        <w:tc>
          <w:tcPr>
            <w:tcW w:w="1844" w:type="dxa"/>
            <w:tcBorders>
              <w:top w:val="single" w:sz="4" w:space="0" w:color="000000"/>
              <w:left w:val="single" w:sz="4" w:space="0" w:color="000000"/>
              <w:bottom w:val="single" w:sz="4" w:space="0" w:color="000000"/>
              <w:right w:val="single" w:sz="4" w:space="0" w:color="000000"/>
            </w:tcBorders>
          </w:tcPr>
          <w:p w:rsidR="00410213" w:rsidRDefault="00D877C6">
            <w:pPr>
              <w:spacing w:after="0" w:line="357" w:lineRule="auto"/>
            </w:pPr>
            <w:r>
              <w:rPr>
                <w:rFonts w:ascii="Times New Roman" w:eastAsia="Times New Roman" w:hAnsi="Times New Roman" w:cs="Times New Roman"/>
                <w:sz w:val="24"/>
              </w:rPr>
              <w:t xml:space="preserve">Number of women and girls trained and provided with social support structural awareness on </w:t>
            </w:r>
          </w:p>
          <w:p w:rsidR="00410213" w:rsidRDefault="00D877C6">
            <w:pPr>
              <w:spacing w:after="115"/>
            </w:pPr>
            <w:r>
              <w:rPr>
                <w:rFonts w:ascii="Times New Roman" w:eastAsia="Times New Roman" w:hAnsi="Times New Roman" w:cs="Times New Roman"/>
                <w:sz w:val="24"/>
              </w:rPr>
              <w:t xml:space="preserve">GBV and their </w:t>
            </w:r>
          </w:p>
          <w:p w:rsidR="00410213" w:rsidRDefault="00D877C6">
            <w:pPr>
              <w:spacing w:after="0"/>
            </w:pPr>
            <w:r>
              <w:rPr>
                <w:rFonts w:ascii="Times New Roman" w:eastAsia="Times New Roman" w:hAnsi="Times New Roman" w:cs="Times New Roman"/>
                <w:sz w:val="24"/>
              </w:rPr>
              <w:t xml:space="preserve">SRHR </w:t>
            </w:r>
          </w:p>
        </w:tc>
        <w:tc>
          <w:tcPr>
            <w:tcW w:w="1985" w:type="dxa"/>
            <w:tcBorders>
              <w:top w:val="single" w:sz="4" w:space="0" w:color="000000"/>
              <w:left w:val="single" w:sz="4" w:space="0" w:color="000000"/>
              <w:bottom w:val="single" w:sz="4" w:space="0" w:color="000000"/>
              <w:right w:val="single" w:sz="4" w:space="0" w:color="000000"/>
            </w:tcBorders>
          </w:tcPr>
          <w:p w:rsidR="00410213" w:rsidRDefault="00D877C6">
            <w:pPr>
              <w:spacing w:after="0"/>
            </w:pPr>
            <w:r>
              <w:rPr>
                <w:rFonts w:ascii="Times New Roman" w:eastAsia="Times New Roman" w:hAnsi="Times New Roman" w:cs="Times New Roman"/>
                <w:sz w:val="24"/>
              </w:rPr>
              <w:t xml:space="preserve">Women and girls have necessary skills to transform their thinking, make a change, utilize support structures and claim their rights </w:t>
            </w:r>
          </w:p>
        </w:tc>
        <w:tc>
          <w:tcPr>
            <w:tcW w:w="1844" w:type="dxa"/>
            <w:vMerge w:val="restart"/>
            <w:tcBorders>
              <w:top w:val="single" w:sz="4" w:space="0" w:color="000000"/>
              <w:left w:val="single" w:sz="4" w:space="0" w:color="000000"/>
              <w:bottom w:val="single" w:sz="4" w:space="0" w:color="000000"/>
              <w:right w:val="single" w:sz="4" w:space="0" w:color="000000"/>
            </w:tcBorders>
          </w:tcPr>
          <w:p w:rsidR="00410213" w:rsidRDefault="00D877C6">
            <w:pPr>
              <w:spacing w:after="112"/>
            </w:pPr>
            <w:r>
              <w:rPr>
                <w:rFonts w:ascii="Times New Roman" w:eastAsia="Times New Roman" w:hAnsi="Times New Roman" w:cs="Times New Roman"/>
                <w:sz w:val="24"/>
              </w:rPr>
              <w:t xml:space="preserve">Women and </w:t>
            </w:r>
          </w:p>
          <w:p w:rsidR="00410213" w:rsidRDefault="00D877C6">
            <w:pPr>
              <w:spacing w:after="1" w:line="357" w:lineRule="auto"/>
            </w:pPr>
            <w:r>
              <w:rPr>
                <w:rFonts w:ascii="Times New Roman" w:eastAsia="Times New Roman" w:hAnsi="Times New Roman" w:cs="Times New Roman"/>
                <w:sz w:val="24"/>
              </w:rPr>
              <w:t xml:space="preserve">girls as agents and champions of their SRHR and claim their rights </w:t>
            </w:r>
          </w:p>
          <w:p w:rsidR="00410213" w:rsidRDefault="00D877C6">
            <w:pPr>
              <w:spacing w:after="113"/>
            </w:pPr>
            <w:r>
              <w:rPr>
                <w:rFonts w:ascii="Times New Roman" w:eastAsia="Times New Roman" w:hAnsi="Times New Roman" w:cs="Times New Roman"/>
                <w:sz w:val="24"/>
              </w:rPr>
              <w:t xml:space="preserve">-Community </w:t>
            </w:r>
          </w:p>
          <w:p w:rsidR="00410213" w:rsidRDefault="00D877C6">
            <w:pPr>
              <w:spacing w:after="0" w:line="377" w:lineRule="auto"/>
            </w:pPr>
            <w:r>
              <w:rPr>
                <w:rFonts w:ascii="Times New Roman" w:eastAsia="Times New Roman" w:hAnsi="Times New Roman" w:cs="Times New Roman"/>
                <w:sz w:val="24"/>
              </w:rPr>
              <w:t xml:space="preserve">leaders as champions of women’s SRHR  </w:t>
            </w:r>
          </w:p>
          <w:p w:rsidR="00410213" w:rsidRDefault="00D877C6">
            <w:pPr>
              <w:spacing w:after="0"/>
            </w:pPr>
            <w:r>
              <w:rPr>
                <w:rFonts w:ascii="Times New Roman" w:eastAsia="Times New Roman" w:hAnsi="Times New Roman" w:cs="Times New Roman"/>
                <w:sz w:val="24"/>
              </w:rPr>
              <w:t xml:space="preserve"> </w:t>
            </w:r>
          </w:p>
        </w:tc>
      </w:tr>
      <w:tr w:rsidR="00410213">
        <w:trPr>
          <w:trHeight w:val="3322"/>
        </w:trPr>
        <w:tc>
          <w:tcPr>
            <w:tcW w:w="0" w:type="auto"/>
            <w:vMerge/>
            <w:tcBorders>
              <w:top w:val="nil"/>
              <w:left w:val="single" w:sz="4" w:space="0" w:color="000000"/>
              <w:bottom w:val="single" w:sz="4" w:space="0" w:color="000000"/>
              <w:right w:val="single" w:sz="4" w:space="0" w:color="000000"/>
            </w:tcBorders>
          </w:tcPr>
          <w:p w:rsidR="00410213" w:rsidRDefault="00410213"/>
        </w:tc>
        <w:tc>
          <w:tcPr>
            <w:tcW w:w="2093" w:type="dxa"/>
            <w:tcBorders>
              <w:top w:val="single" w:sz="4" w:space="0" w:color="000000"/>
              <w:left w:val="single" w:sz="4" w:space="0" w:color="000000"/>
              <w:bottom w:val="single" w:sz="4" w:space="0" w:color="000000"/>
              <w:right w:val="single" w:sz="4" w:space="0" w:color="000000"/>
            </w:tcBorders>
          </w:tcPr>
          <w:p w:rsidR="00410213" w:rsidRDefault="00D877C6">
            <w:pPr>
              <w:spacing w:after="0"/>
              <w:ind w:left="1"/>
            </w:pPr>
            <w:r>
              <w:rPr>
                <w:rFonts w:ascii="Times New Roman" w:eastAsia="Times New Roman" w:hAnsi="Times New Roman" w:cs="Times New Roman"/>
                <w:sz w:val="24"/>
              </w:rPr>
              <w:t xml:space="preserve">200 community members reached on awareness campaign about GBV and respecting women and girls SRHR  </w:t>
            </w:r>
          </w:p>
        </w:tc>
        <w:tc>
          <w:tcPr>
            <w:tcW w:w="1844" w:type="dxa"/>
            <w:tcBorders>
              <w:top w:val="single" w:sz="4" w:space="0" w:color="000000"/>
              <w:left w:val="single" w:sz="4" w:space="0" w:color="000000"/>
              <w:bottom w:val="single" w:sz="4" w:space="0" w:color="000000"/>
              <w:right w:val="single" w:sz="4" w:space="0" w:color="000000"/>
            </w:tcBorders>
          </w:tcPr>
          <w:p w:rsidR="00410213" w:rsidRDefault="00D877C6">
            <w:pPr>
              <w:spacing w:after="0"/>
              <w:ind w:right="5"/>
            </w:pPr>
            <w:r>
              <w:rPr>
                <w:rFonts w:ascii="Times New Roman" w:eastAsia="Times New Roman" w:hAnsi="Times New Roman" w:cs="Times New Roman"/>
                <w:sz w:val="24"/>
              </w:rPr>
              <w:t xml:space="preserve">Number of community members reached with GBV and women’s SRHR awareness messaging </w:t>
            </w:r>
          </w:p>
        </w:tc>
        <w:tc>
          <w:tcPr>
            <w:tcW w:w="1985" w:type="dxa"/>
            <w:tcBorders>
              <w:top w:val="single" w:sz="4" w:space="0" w:color="000000"/>
              <w:left w:val="single" w:sz="4" w:space="0" w:color="000000"/>
              <w:bottom w:val="single" w:sz="4" w:space="0" w:color="000000"/>
              <w:right w:val="single" w:sz="4" w:space="0" w:color="000000"/>
            </w:tcBorders>
          </w:tcPr>
          <w:p w:rsidR="00410213" w:rsidRDefault="00D877C6">
            <w:pPr>
              <w:spacing w:after="1" w:line="357" w:lineRule="auto"/>
            </w:pPr>
            <w:r>
              <w:rPr>
                <w:rFonts w:ascii="Times New Roman" w:eastAsia="Times New Roman" w:hAnsi="Times New Roman" w:cs="Times New Roman"/>
                <w:sz w:val="24"/>
              </w:rPr>
              <w:t xml:space="preserve">Community leaders champion women’s SRHR </w:t>
            </w:r>
          </w:p>
          <w:p w:rsidR="00410213" w:rsidRDefault="00D877C6">
            <w:pPr>
              <w:spacing w:after="0"/>
            </w:pPr>
            <w:r>
              <w:rPr>
                <w:rFonts w:ascii="Times New Roman" w:eastAsia="Times New Roman" w:hAnsi="Times New Roman" w:cs="Times New Roman"/>
                <w:sz w:val="24"/>
              </w:rPr>
              <w:t xml:space="preserve">and create/champion support structures </w:t>
            </w:r>
          </w:p>
        </w:tc>
        <w:tc>
          <w:tcPr>
            <w:tcW w:w="0" w:type="auto"/>
            <w:vMerge/>
            <w:tcBorders>
              <w:top w:val="nil"/>
              <w:left w:val="single" w:sz="4" w:space="0" w:color="000000"/>
              <w:bottom w:val="single" w:sz="4" w:space="0" w:color="000000"/>
              <w:right w:val="single" w:sz="4" w:space="0" w:color="000000"/>
            </w:tcBorders>
          </w:tcPr>
          <w:p w:rsidR="00410213" w:rsidRDefault="00410213"/>
        </w:tc>
      </w:tr>
    </w:tbl>
    <w:p w:rsidR="00410213" w:rsidRDefault="00D877C6">
      <w:pPr>
        <w:spacing w:after="276"/>
      </w:pPr>
      <w:r>
        <w:rPr>
          <w:rFonts w:ascii="Times New Roman" w:eastAsia="Times New Roman" w:hAnsi="Times New Roman" w:cs="Times New Roman"/>
          <w:b/>
          <w:sz w:val="24"/>
        </w:rPr>
        <w:t xml:space="preserve"> </w:t>
      </w:r>
    </w:p>
    <w:p w:rsidR="00410213" w:rsidRDefault="00D877C6">
      <w:pPr>
        <w:spacing w:after="154" w:line="363" w:lineRule="auto"/>
        <w:ind w:left="-5" w:right="413" w:hanging="10"/>
      </w:pPr>
      <w:r>
        <w:rPr>
          <w:rFonts w:ascii="Times New Roman" w:eastAsia="Times New Roman" w:hAnsi="Times New Roman" w:cs="Times New Roman"/>
          <w:sz w:val="24"/>
        </w:rPr>
        <w:t>Immediate impact was measured through participant interviews of their understanding of SRHR and GBV immediately after the one-to-one and groups sensitization on GBV and SRHR, community leaders’ commitments in support of victims and allocation of supportive</w:t>
      </w:r>
      <w:r>
        <w:rPr>
          <w:rFonts w:ascii="Times New Roman" w:eastAsia="Times New Roman" w:hAnsi="Times New Roman" w:cs="Times New Roman"/>
          <w:sz w:val="24"/>
        </w:rPr>
        <w:t xml:space="preserve"> structures for victims by male and female community leaders.  </w:t>
      </w:r>
    </w:p>
    <w:p w:rsidR="00410213" w:rsidRDefault="00D877C6">
      <w:pPr>
        <w:spacing w:after="274"/>
      </w:pPr>
      <w:r>
        <w:rPr>
          <w:rFonts w:ascii="Times New Roman" w:eastAsia="Times New Roman" w:hAnsi="Times New Roman" w:cs="Times New Roman"/>
          <w:b/>
          <w:sz w:val="24"/>
        </w:rPr>
        <w:t xml:space="preserve"> </w:t>
      </w:r>
    </w:p>
    <w:p w:rsidR="00410213" w:rsidRDefault="00D877C6">
      <w:pPr>
        <w:spacing w:after="276"/>
      </w:pPr>
      <w:r>
        <w:rPr>
          <w:rFonts w:ascii="Times New Roman" w:eastAsia="Times New Roman" w:hAnsi="Times New Roman" w:cs="Times New Roman"/>
          <w:b/>
          <w:sz w:val="24"/>
        </w:rPr>
        <w:t xml:space="preserve"> </w:t>
      </w:r>
    </w:p>
    <w:p w:rsidR="00410213" w:rsidRDefault="00D877C6">
      <w:pPr>
        <w:spacing w:after="273"/>
      </w:pPr>
      <w:r>
        <w:rPr>
          <w:rFonts w:ascii="Times New Roman" w:eastAsia="Times New Roman" w:hAnsi="Times New Roman" w:cs="Times New Roman"/>
          <w:b/>
          <w:sz w:val="24"/>
        </w:rPr>
        <w:t xml:space="preserve"> </w:t>
      </w:r>
    </w:p>
    <w:p w:rsidR="00410213" w:rsidRDefault="00D877C6">
      <w:pPr>
        <w:spacing w:after="0"/>
      </w:pPr>
      <w:r>
        <w:rPr>
          <w:rFonts w:ascii="Times New Roman" w:eastAsia="Times New Roman" w:hAnsi="Times New Roman" w:cs="Times New Roman"/>
          <w:b/>
          <w:sz w:val="24"/>
        </w:rPr>
        <w:t xml:space="preserve"> </w:t>
      </w:r>
    </w:p>
    <w:p w:rsidR="00410213" w:rsidRDefault="00D877C6">
      <w:pPr>
        <w:pStyle w:val="Heading1"/>
        <w:spacing w:after="242"/>
        <w:ind w:right="0"/>
      </w:pPr>
      <w:bookmarkStart w:id="16" w:name="_Toc30312"/>
      <w:r>
        <w:t xml:space="preserve">CHAPTER THREE </w:t>
      </w:r>
      <w:bookmarkEnd w:id="16"/>
    </w:p>
    <w:p w:rsidR="00410213" w:rsidRDefault="00D877C6">
      <w:pPr>
        <w:pStyle w:val="Heading1"/>
        <w:ind w:left="355" w:right="0"/>
      </w:pPr>
      <w:bookmarkStart w:id="17" w:name="_Toc30313"/>
      <w:r>
        <w:t>1.</w:t>
      </w:r>
      <w:r>
        <w:rPr>
          <w:rFonts w:ascii="Arial" w:eastAsia="Arial" w:hAnsi="Arial" w:cs="Arial"/>
        </w:rPr>
        <w:t xml:space="preserve"> </w:t>
      </w:r>
      <w:r>
        <w:t xml:space="preserve">INTERVENTIONS AND ACTIVITIES </w:t>
      </w:r>
      <w:bookmarkEnd w:id="17"/>
    </w:p>
    <w:p w:rsidR="00410213" w:rsidRDefault="00D877C6">
      <w:pPr>
        <w:pStyle w:val="Heading2"/>
        <w:tabs>
          <w:tab w:val="center" w:pos="296"/>
          <w:tab w:val="center" w:pos="2519"/>
        </w:tabs>
        <w:ind w:left="0" w:right="0" w:firstLine="0"/>
      </w:pPr>
      <w:bookmarkStart w:id="18" w:name="_Toc30314"/>
      <w:r>
        <w:rPr>
          <w:rFonts w:ascii="Calibri" w:eastAsia="Calibri" w:hAnsi="Calibri" w:cs="Calibri"/>
          <w:b w:val="0"/>
          <w:sz w:val="22"/>
        </w:rPr>
        <w:tab/>
      </w:r>
      <w:r>
        <w:t>i.</w:t>
      </w:r>
      <w:r>
        <w:rPr>
          <w:rFonts w:ascii="Arial" w:eastAsia="Arial" w:hAnsi="Arial" w:cs="Arial"/>
        </w:rPr>
        <w:t xml:space="preserve"> </w:t>
      </w:r>
      <w:r>
        <w:rPr>
          <w:rFonts w:ascii="Arial" w:eastAsia="Arial" w:hAnsi="Arial" w:cs="Arial"/>
        </w:rPr>
        <w:tab/>
      </w:r>
      <w:r>
        <w:t xml:space="preserve">Literature Review to Identify Gaps </w:t>
      </w:r>
      <w:bookmarkEnd w:id="18"/>
    </w:p>
    <w:p w:rsidR="00410213" w:rsidRDefault="00D877C6">
      <w:pPr>
        <w:spacing w:after="154" w:line="363" w:lineRule="auto"/>
        <w:ind w:left="-5" w:right="413" w:hanging="10"/>
      </w:pPr>
      <w:r>
        <w:rPr>
          <w:rFonts w:ascii="Times New Roman" w:eastAsia="Times New Roman" w:hAnsi="Times New Roman" w:cs="Times New Roman"/>
          <w:sz w:val="24"/>
        </w:rPr>
        <w:t xml:space="preserve">Several articles were reviewed to identify specific prevalent and knowledge gaps </w:t>
      </w:r>
      <w:r>
        <w:rPr>
          <w:rFonts w:ascii="Times New Roman" w:eastAsia="Times New Roman" w:hAnsi="Times New Roman" w:cs="Times New Roman"/>
          <w:sz w:val="24"/>
        </w:rPr>
        <w:t xml:space="preserve">which guided the implementation approach.  </w:t>
      </w:r>
    </w:p>
    <w:p w:rsidR="00410213" w:rsidRDefault="00D877C6">
      <w:pPr>
        <w:pStyle w:val="Heading2"/>
        <w:tabs>
          <w:tab w:val="center" w:pos="3548"/>
        </w:tabs>
        <w:ind w:left="0" w:right="0" w:firstLine="0"/>
      </w:pPr>
      <w:bookmarkStart w:id="19" w:name="_Toc30315"/>
      <w:r>
        <w:lastRenderedPageBreak/>
        <w:t>ii.</w:t>
      </w:r>
      <w:r>
        <w:rPr>
          <w:rFonts w:ascii="Arial" w:eastAsia="Arial" w:hAnsi="Arial" w:cs="Arial"/>
        </w:rPr>
        <w:t xml:space="preserve"> </w:t>
      </w:r>
      <w:r>
        <w:rPr>
          <w:rFonts w:ascii="Arial" w:eastAsia="Arial" w:hAnsi="Arial" w:cs="Arial"/>
        </w:rPr>
        <w:tab/>
      </w:r>
      <w:r>
        <w:t xml:space="preserve">Training of facilitators (SRHH/GBV expert volunteers) </w:t>
      </w:r>
      <w:bookmarkEnd w:id="19"/>
    </w:p>
    <w:p w:rsidR="00410213" w:rsidRDefault="00D877C6">
      <w:pPr>
        <w:spacing w:after="154" w:line="363" w:lineRule="auto"/>
        <w:ind w:left="-5" w:right="413" w:hanging="10"/>
      </w:pPr>
      <w:r>
        <w:rPr>
          <w:rFonts w:ascii="Times New Roman" w:eastAsia="Times New Roman" w:hAnsi="Times New Roman" w:cs="Times New Roman"/>
          <w:sz w:val="24"/>
        </w:rPr>
        <w:t>Facilitators were selected based on their expertise in the subject area, for at least a year, and within the intervention sites. This fostered acceptanc</w:t>
      </w:r>
      <w:r>
        <w:rPr>
          <w:rFonts w:ascii="Times New Roman" w:eastAsia="Times New Roman" w:hAnsi="Times New Roman" w:cs="Times New Roman"/>
          <w:sz w:val="24"/>
        </w:rPr>
        <w:t xml:space="preserve">e and diminished gender-sensitive community resistance.  </w:t>
      </w:r>
    </w:p>
    <w:p w:rsidR="00410213" w:rsidRDefault="00D877C6">
      <w:pPr>
        <w:pStyle w:val="Heading2"/>
        <w:tabs>
          <w:tab w:val="center" w:pos="2003"/>
        </w:tabs>
        <w:ind w:left="0" w:right="0" w:firstLine="0"/>
      </w:pPr>
      <w:bookmarkStart w:id="20" w:name="_Toc30316"/>
      <w:r>
        <w:t>iii.</w:t>
      </w:r>
      <w:r>
        <w:rPr>
          <w:rFonts w:ascii="Arial" w:eastAsia="Arial" w:hAnsi="Arial" w:cs="Arial"/>
        </w:rPr>
        <w:t xml:space="preserve"> </w:t>
      </w:r>
      <w:r>
        <w:rPr>
          <w:rFonts w:ascii="Arial" w:eastAsia="Arial" w:hAnsi="Arial" w:cs="Arial"/>
        </w:rPr>
        <w:tab/>
      </w:r>
      <w:r>
        <w:t xml:space="preserve">Community mobilization </w:t>
      </w:r>
      <w:bookmarkEnd w:id="20"/>
    </w:p>
    <w:p w:rsidR="00410213" w:rsidRDefault="00D877C6">
      <w:pPr>
        <w:spacing w:after="154" w:line="363" w:lineRule="auto"/>
        <w:ind w:left="-5" w:right="413" w:hanging="10"/>
      </w:pPr>
      <w:r>
        <w:rPr>
          <w:rFonts w:ascii="Times New Roman" w:eastAsia="Times New Roman" w:hAnsi="Times New Roman" w:cs="Times New Roman"/>
          <w:sz w:val="24"/>
        </w:rPr>
        <w:t xml:space="preserve">This was led by community focal points and involved approval and integration of community leaders, women, youth and other social actors/groups.  </w:t>
      </w:r>
    </w:p>
    <w:p w:rsidR="00410213" w:rsidRDefault="00D877C6">
      <w:pPr>
        <w:pStyle w:val="Heading2"/>
        <w:tabs>
          <w:tab w:val="center" w:pos="2349"/>
        </w:tabs>
        <w:ind w:left="0" w:right="0" w:firstLine="0"/>
      </w:pPr>
      <w:bookmarkStart w:id="21" w:name="_Toc30317"/>
      <w:r>
        <w:t>iv.</w:t>
      </w:r>
      <w:r>
        <w:rPr>
          <w:rFonts w:ascii="Arial" w:eastAsia="Arial" w:hAnsi="Arial" w:cs="Arial"/>
        </w:rPr>
        <w:t xml:space="preserve"> </w:t>
      </w:r>
      <w:r>
        <w:rPr>
          <w:rFonts w:ascii="Arial" w:eastAsia="Arial" w:hAnsi="Arial" w:cs="Arial"/>
        </w:rPr>
        <w:tab/>
      </w:r>
      <w:r>
        <w:t>Community outreac</w:t>
      </w:r>
      <w:r>
        <w:t xml:space="preserve">h/campaign  </w:t>
      </w:r>
      <w:bookmarkEnd w:id="21"/>
    </w:p>
    <w:p w:rsidR="00410213" w:rsidRDefault="00D877C6">
      <w:pPr>
        <w:spacing w:after="154" w:line="363" w:lineRule="auto"/>
        <w:ind w:left="-5" w:right="413" w:hanging="10"/>
      </w:pPr>
      <w:r>
        <w:rPr>
          <w:rFonts w:ascii="Times New Roman" w:eastAsia="Times New Roman" w:hAnsi="Times New Roman" w:cs="Times New Roman"/>
          <w:sz w:val="24"/>
        </w:rPr>
        <w:t xml:space="preserve">Though 200 were targeted, over 500 women, men, girls and boys were sensitized on SRHR and GBV at the Mile 16 Catholic church. In addition, 20 women and girls were provided a one-to-one participatory session on the subject matter. </w:t>
      </w:r>
    </w:p>
    <w:p w:rsidR="00410213" w:rsidRDefault="00D877C6">
      <w:pPr>
        <w:pStyle w:val="Heading2"/>
        <w:tabs>
          <w:tab w:val="center" w:pos="2237"/>
        </w:tabs>
        <w:ind w:left="0" w:right="0" w:firstLine="0"/>
      </w:pPr>
      <w:bookmarkStart w:id="22" w:name="_Toc30318"/>
      <w:r>
        <w:t>v.</w:t>
      </w:r>
      <w:r>
        <w:rPr>
          <w:rFonts w:ascii="Arial" w:eastAsia="Arial" w:hAnsi="Arial" w:cs="Arial"/>
        </w:rPr>
        <w:t xml:space="preserve"> </w:t>
      </w:r>
      <w:r>
        <w:rPr>
          <w:rFonts w:ascii="Arial" w:eastAsia="Arial" w:hAnsi="Arial" w:cs="Arial"/>
        </w:rPr>
        <w:tab/>
      </w:r>
      <w:r>
        <w:t>Media Ou</w:t>
      </w:r>
      <w:r>
        <w:t xml:space="preserve">treach/Engagement </w:t>
      </w:r>
      <w:bookmarkEnd w:id="22"/>
    </w:p>
    <w:p w:rsidR="00410213" w:rsidRDefault="00D877C6">
      <w:pPr>
        <w:spacing w:after="154" w:line="363" w:lineRule="auto"/>
        <w:ind w:left="-5" w:right="413" w:hanging="10"/>
      </w:pPr>
      <w:r>
        <w:rPr>
          <w:rFonts w:ascii="Times New Roman" w:eastAsia="Times New Roman" w:hAnsi="Times New Roman" w:cs="Times New Roman"/>
          <w:sz w:val="24"/>
        </w:rPr>
        <w:t>More than 1500 women, men, girls and boys were sensitized by GBV/SRHR media education on SRHR and GBV through programs most listened to by indigenes of Fako Division and Mile 16 community. This included HiTV, CBC radio and Bonakanda comm</w:t>
      </w:r>
      <w:r>
        <w:rPr>
          <w:rFonts w:ascii="Times New Roman" w:eastAsia="Times New Roman" w:hAnsi="Times New Roman" w:cs="Times New Roman"/>
          <w:sz w:val="24"/>
        </w:rPr>
        <w:t xml:space="preserve">unity radio. During these media sessions, participants asked multiple questions to enhance their comprehension and better support community members, partners and victims of violence.  </w:t>
      </w:r>
    </w:p>
    <w:p w:rsidR="00410213" w:rsidRDefault="00D877C6">
      <w:pPr>
        <w:tabs>
          <w:tab w:val="center" w:pos="2120"/>
        </w:tabs>
        <w:spacing w:after="166" w:line="258" w:lineRule="auto"/>
      </w:pPr>
      <w:r>
        <w:rPr>
          <w:rFonts w:ascii="Times New Roman" w:eastAsia="Times New Roman" w:hAnsi="Times New Roman" w:cs="Times New Roman"/>
          <w:b/>
          <w:sz w:val="24"/>
        </w:rPr>
        <w:t>vi.</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Local Leaders Engagement </w:t>
      </w:r>
    </w:p>
    <w:p w:rsidR="00410213" w:rsidRDefault="00D877C6">
      <w:pPr>
        <w:spacing w:after="154" w:line="363" w:lineRule="auto"/>
        <w:ind w:left="-5" w:right="413" w:hanging="10"/>
      </w:pPr>
      <w:r>
        <w:rPr>
          <w:rFonts w:ascii="Times New Roman" w:eastAsia="Times New Roman" w:hAnsi="Times New Roman" w:cs="Times New Roman"/>
          <w:sz w:val="24"/>
        </w:rPr>
        <w:t xml:space="preserve"> To foster male involvement, sustainabil</w:t>
      </w:r>
      <w:r>
        <w:rPr>
          <w:rFonts w:ascii="Times New Roman" w:eastAsia="Times New Roman" w:hAnsi="Times New Roman" w:cs="Times New Roman"/>
          <w:sz w:val="24"/>
        </w:rPr>
        <w:t xml:space="preserve">ity, and championing of SRHR and non-GBV, a session was held amongst 10 women group leaders, male group leaders and community influencers to discuss about the underlying issue, challenges and identify strategies to end these issues. The session ended with </w:t>
      </w:r>
      <w:r>
        <w:rPr>
          <w:rFonts w:ascii="Times New Roman" w:eastAsia="Times New Roman" w:hAnsi="Times New Roman" w:cs="Times New Roman"/>
          <w:sz w:val="24"/>
        </w:rPr>
        <w:t xml:space="preserve">community leaders wanting more of the engagement and announcing commitments to support victims through their already existing structures such as the women groups and chiefs and ensuring punishment for violators.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1"/>
        <w:ind w:left="355" w:right="0"/>
      </w:pPr>
      <w:bookmarkStart w:id="23" w:name="_Toc30319"/>
      <w:r>
        <w:t>2.</w:t>
      </w:r>
      <w:r>
        <w:rPr>
          <w:rFonts w:ascii="Arial" w:eastAsia="Arial" w:hAnsi="Arial" w:cs="Arial"/>
        </w:rPr>
        <w:t xml:space="preserve"> </w:t>
      </w:r>
      <w:r>
        <w:t xml:space="preserve">KEY FINDINGS/IMPACT </w:t>
      </w:r>
      <w:bookmarkEnd w:id="23"/>
    </w:p>
    <w:p w:rsidR="00410213" w:rsidRDefault="00D877C6">
      <w:pPr>
        <w:numPr>
          <w:ilvl w:val="0"/>
          <w:numId w:val="8"/>
        </w:numPr>
        <w:spacing w:after="92"/>
        <w:ind w:right="413" w:hanging="360"/>
      </w:pPr>
      <w:r>
        <w:rPr>
          <w:rFonts w:ascii="Times New Roman" w:eastAsia="Times New Roman" w:hAnsi="Times New Roman" w:cs="Times New Roman"/>
          <w:sz w:val="24"/>
        </w:rPr>
        <w:t xml:space="preserve">70% of women and girls were unaware of GBV and their SRHRs. </w:t>
      </w:r>
    </w:p>
    <w:p w:rsidR="00410213" w:rsidRDefault="00D877C6">
      <w:pPr>
        <w:numPr>
          <w:ilvl w:val="0"/>
          <w:numId w:val="8"/>
        </w:numPr>
        <w:spacing w:after="16" w:line="363" w:lineRule="auto"/>
        <w:ind w:right="413" w:hanging="360"/>
      </w:pPr>
      <w:r>
        <w:rPr>
          <w:rFonts w:ascii="Times New Roman" w:eastAsia="Times New Roman" w:hAnsi="Times New Roman" w:cs="Times New Roman"/>
          <w:sz w:val="24"/>
        </w:rPr>
        <w:t xml:space="preserve">50% women did not perceive physical and sexual abuse and lack of control of their reproductive rights as GBV or violation of their SRHR. </w:t>
      </w:r>
    </w:p>
    <w:p w:rsidR="00410213" w:rsidRDefault="00D877C6">
      <w:pPr>
        <w:numPr>
          <w:ilvl w:val="0"/>
          <w:numId w:val="8"/>
        </w:numPr>
        <w:spacing w:after="16" w:line="363" w:lineRule="auto"/>
        <w:ind w:right="413" w:hanging="360"/>
      </w:pPr>
      <w:r>
        <w:rPr>
          <w:rFonts w:ascii="Times New Roman" w:eastAsia="Times New Roman" w:hAnsi="Times New Roman" w:cs="Times New Roman"/>
          <w:sz w:val="24"/>
        </w:rPr>
        <w:t>100% male and female community leaders were willing to ch</w:t>
      </w:r>
      <w:r>
        <w:rPr>
          <w:rFonts w:ascii="Times New Roman" w:eastAsia="Times New Roman" w:hAnsi="Times New Roman" w:cs="Times New Roman"/>
          <w:sz w:val="24"/>
        </w:rPr>
        <w:t xml:space="preserve">ampion the fight against GBV and SRHR violations. </w:t>
      </w:r>
    </w:p>
    <w:p w:rsidR="00410213" w:rsidRDefault="00D877C6">
      <w:pPr>
        <w:numPr>
          <w:ilvl w:val="0"/>
          <w:numId w:val="8"/>
        </w:numPr>
        <w:spacing w:after="29" w:line="363" w:lineRule="auto"/>
        <w:ind w:right="413" w:hanging="360"/>
      </w:pPr>
      <w:r>
        <w:rPr>
          <w:rFonts w:ascii="Times New Roman" w:eastAsia="Times New Roman" w:hAnsi="Times New Roman" w:cs="Times New Roman"/>
          <w:sz w:val="24"/>
        </w:rPr>
        <w:lastRenderedPageBreak/>
        <w:t xml:space="preserve">There were existing but unutilized and non-strengthened supportive structures for victims of GBV/SRHR violation, such as the church and Mile 16 community women social group. </w:t>
      </w:r>
    </w:p>
    <w:p w:rsidR="00410213" w:rsidRDefault="00D877C6">
      <w:pPr>
        <w:numPr>
          <w:ilvl w:val="0"/>
          <w:numId w:val="8"/>
        </w:numPr>
        <w:spacing w:after="19" w:line="363" w:lineRule="auto"/>
        <w:ind w:right="413" w:hanging="360"/>
      </w:pPr>
      <w:r>
        <w:rPr>
          <w:rFonts w:ascii="Times New Roman" w:eastAsia="Times New Roman" w:hAnsi="Times New Roman" w:cs="Times New Roman"/>
          <w:sz w:val="24"/>
        </w:rPr>
        <w:t>Women and girls were willing t</w:t>
      </w:r>
      <w:r>
        <w:rPr>
          <w:rFonts w:ascii="Times New Roman" w:eastAsia="Times New Roman" w:hAnsi="Times New Roman" w:cs="Times New Roman"/>
          <w:sz w:val="24"/>
        </w:rPr>
        <w:t xml:space="preserve">o act as one another’s keepers and utilised their women groups to foster awareness on the subject matter. </w:t>
      </w:r>
    </w:p>
    <w:p w:rsidR="00410213" w:rsidRDefault="00D877C6">
      <w:pPr>
        <w:numPr>
          <w:ilvl w:val="0"/>
          <w:numId w:val="8"/>
        </w:numPr>
        <w:spacing w:after="19" w:line="363" w:lineRule="auto"/>
        <w:ind w:right="413" w:hanging="360"/>
      </w:pPr>
      <w:r>
        <w:rPr>
          <w:rFonts w:ascii="Times New Roman" w:eastAsia="Times New Roman" w:hAnsi="Times New Roman" w:cs="Times New Roman"/>
          <w:sz w:val="24"/>
        </w:rPr>
        <w:t xml:space="preserve">Community leaders committed to utilising their structures in punishing violators and supporting victims, including limiting exposures.  </w:t>
      </w:r>
    </w:p>
    <w:p w:rsidR="00410213" w:rsidRDefault="00D877C6">
      <w:pPr>
        <w:numPr>
          <w:ilvl w:val="0"/>
          <w:numId w:val="8"/>
        </w:numPr>
        <w:spacing w:after="154" w:line="363" w:lineRule="auto"/>
        <w:ind w:right="413" w:hanging="360"/>
      </w:pPr>
      <w:r>
        <w:rPr>
          <w:rFonts w:ascii="Times New Roman" w:eastAsia="Times New Roman" w:hAnsi="Times New Roman" w:cs="Times New Roman"/>
          <w:sz w:val="24"/>
        </w:rPr>
        <w:t>Community le</w:t>
      </w:r>
      <w:r>
        <w:rPr>
          <w:rFonts w:ascii="Times New Roman" w:eastAsia="Times New Roman" w:hAnsi="Times New Roman" w:cs="Times New Roman"/>
          <w:sz w:val="24"/>
        </w:rPr>
        <w:t xml:space="preserve">aders/representatives perceived the community needed long-term and increased participant coverage on GBV/SRHR sensitization as they reported a want for more GBV/SRHR awareness raising sessions for those who not present during outreach sessions.  </w:t>
      </w:r>
    </w:p>
    <w:p w:rsidR="00410213" w:rsidRDefault="00D877C6">
      <w:pPr>
        <w:spacing w:after="156"/>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6"/>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9"/>
      </w:pPr>
      <w:r>
        <w:rPr>
          <w:rFonts w:ascii="Times New Roman" w:eastAsia="Times New Roman" w:hAnsi="Times New Roman" w:cs="Times New Roman"/>
          <w:sz w:val="24"/>
        </w:rPr>
        <w:t xml:space="preserve"> </w:t>
      </w:r>
    </w:p>
    <w:p w:rsidR="00410213" w:rsidRDefault="00D877C6">
      <w:pPr>
        <w:spacing w:after="156"/>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158"/>
      </w:pPr>
      <w:r>
        <w:rPr>
          <w:rFonts w:ascii="Times New Roman" w:eastAsia="Times New Roman" w:hAnsi="Times New Roman" w:cs="Times New Roman"/>
          <w:sz w:val="24"/>
        </w:rPr>
        <w:t xml:space="preserve">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1"/>
        <w:spacing w:after="241" w:line="259" w:lineRule="auto"/>
        <w:ind w:right="420"/>
        <w:jc w:val="center"/>
      </w:pPr>
      <w:bookmarkStart w:id="24" w:name="_Toc30320"/>
      <w:r>
        <w:t xml:space="preserve">CHAPTER FOUR </w:t>
      </w:r>
      <w:bookmarkEnd w:id="24"/>
    </w:p>
    <w:p w:rsidR="00410213" w:rsidRDefault="00D877C6">
      <w:pPr>
        <w:pStyle w:val="Heading1"/>
        <w:ind w:left="355" w:right="0"/>
      </w:pPr>
      <w:bookmarkStart w:id="25" w:name="_Toc30321"/>
      <w:r>
        <w:t>1.</w:t>
      </w:r>
      <w:r>
        <w:rPr>
          <w:rFonts w:ascii="Arial" w:eastAsia="Arial" w:hAnsi="Arial" w:cs="Arial"/>
        </w:rPr>
        <w:t xml:space="preserve"> </w:t>
      </w:r>
      <w:r>
        <w:t xml:space="preserve">GENERAL CONCLUSION </w:t>
      </w:r>
      <w:bookmarkEnd w:id="25"/>
    </w:p>
    <w:p w:rsidR="00410213" w:rsidRDefault="00D877C6">
      <w:pPr>
        <w:spacing w:after="241" w:line="363" w:lineRule="auto"/>
        <w:ind w:left="-5" w:right="413" w:hanging="10"/>
      </w:pPr>
      <w:r>
        <w:rPr>
          <w:rFonts w:ascii="Times New Roman" w:eastAsia="Times New Roman" w:hAnsi="Times New Roman" w:cs="Times New Roman"/>
          <w:sz w:val="24"/>
        </w:rPr>
        <w:t xml:space="preserve">Sexual and reproductive health and rights, and gender-based violence are prevalent in hardest hit and most inaccessible conflict-affected communities, with women and girls being most affected. </w:t>
      </w:r>
      <w:r>
        <w:rPr>
          <w:rFonts w:ascii="Times New Roman" w:eastAsia="Times New Roman" w:hAnsi="Times New Roman" w:cs="Times New Roman"/>
          <w:sz w:val="24"/>
        </w:rPr>
        <w:t>This social change initiative project aimed at improving the awareness of women and girls in Fako division on gender-based violence and their sexual and reproductive health and rights, secure community leaders’ commitments towards support for GBV/SRHR viol</w:t>
      </w:r>
      <w:r>
        <w:rPr>
          <w:rFonts w:ascii="Times New Roman" w:eastAsia="Times New Roman" w:hAnsi="Times New Roman" w:cs="Times New Roman"/>
          <w:sz w:val="24"/>
        </w:rPr>
        <w:t xml:space="preserve">ated victims, championing the change process, and creating awareness to GBV victims about existing supportive structures such as the church, chiefs and women lead groups. Through community </w:t>
      </w:r>
      <w:r>
        <w:rPr>
          <w:rFonts w:ascii="Times New Roman" w:eastAsia="Times New Roman" w:hAnsi="Times New Roman" w:cs="Times New Roman"/>
          <w:sz w:val="24"/>
        </w:rPr>
        <w:lastRenderedPageBreak/>
        <w:t>engagement, use of media, community women social groups, the church</w:t>
      </w:r>
      <w:r>
        <w:rPr>
          <w:rFonts w:ascii="Times New Roman" w:eastAsia="Times New Roman" w:hAnsi="Times New Roman" w:cs="Times New Roman"/>
          <w:sz w:val="24"/>
        </w:rPr>
        <w:t>, and community leaders buy-in, the SRHR and GBV awareness and championing was enhanced. However, there is need for long-term sensitization on GBV/SRHR, increased participants, and enforcement of protective laws and financial supportive mechanisms for fema</w:t>
      </w:r>
      <w:r>
        <w:rPr>
          <w:rFonts w:ascii="Times New Roman" w:eastAsia="Times New Roman" w:hAnsi="Times New Roman" w:cs="Times New Roman"/>
          <w:sz w:val="24"/>
        </w:rPr>
        <w:t xml:space="preserve">le victims.  </w:t>
      </w:r>
    </w:p>
    <w:p w:rsidR="00410213" w:rsidRDefault="00D877C6">
      <w:pPr>
        <w:pStyle w:val="Heading1"/>
        <w:ind w:left="355" w:right="0"/>
      </w:pPr>
      <w:bookmarkStart w:id="26" w:name="_Toc30322"/>
      <w:r>
        <w:t>2.</w:t>
      </w:r>
      <w:r>
        <w:rPr>
          <w:rFonts w:ascii="Arial" w:eastAsia="Arial" w:hAnsi="Arial" w:cs="Arial"/>
        </w:rPr>
        <w:t xml:space="preserve"> </w:t>
      </w:r>
      <w:r>
        <w:t xml:space="preserve">RECOMMENDATIONS/IMPLICATIONS FOR POLICY  </w:t>
      </w:r>
      <w:bookmarkEnd w:id="26"/>
    </w:p>
    <w:p w:rsidR="00410213" w:rsidRDefault="00D877C6">
      <w:pPr>
        <w:numPr>
          <w:ilvl w:val="0"/>
          <w:numId w:val="9"/>
        </w:numPr>
        <w:spacing w:after="19" w:line="363" w:lineRule="auto"/>
        <w:ind w:right="413" w:hanging="360"/>
      </w:pPr>
      <w:r>
        <w:rPr>
          <w:rFonts w:ascii="Times New Roman" w:eastAsia="Times New Roman" w:hAnsi="Times New Roman" w:cs="Times New Roman"/>
          <w:sz w:val="24"/>
        </w:rPr>
        <w:t xml:space="preserve">Sustainable GBV and SRHR change requires long-term and focused behavioural change interventions. </w:t>
      </w:r>
    </w:p>
    <w:p w:rsidR="00410213" w:rsidRDefault="00D877C6">
      <w:pPr>
        <w:numPr>
          <w:ilvl w:val="0"/>
          <w:numId w:val="9"/>
        </w:numPr>
        <w:spacing w:after="16" w:line="363" w:lineRule="auto"/>
        <w:ind w:right="413" w:hanging="360"/>
      </w:pPr>
      <w:r>
        <w:rPr>
          <w:rFonts w:ascii="Times New Roman" w:eastAsia="Times New Roman" w:hAnsi="Times New Roman" w:cs="Times New Roman"/>
          <w:sz w:val="24"/>
        </w:rPr>
        <w:t>Funding for community-based initiatives should be made available to community representatives of ex</w:t>
      </w:r>
      <w:r>
        <w:rPr>
          <w:rFonts w:ascii="Times New Roman" w:eastAsia="Times New Roman" w:hAnsi="Times New Roman" w:cs="Times New Roman"/>
          <w:sz w:val="24"/>
        </w:rPr>
        <w:t xml:space="preserve">isting structures who are less likely informed, to strengthen these systems and foster sustainability and ownership. </w:t>
      </w:r>
    </w:p>
    <w:p w:rsidR="00410213" w:rsidRDefault="00D877C6">
      <w:pPr>
        <w:numPr>
          <w:ilvl w:val="0"/>
          <w:numId w:val="9"/>
        </w:numPr>
        <w:spacing w:after="239" w:line="363" w:lineRule="auto"/>
        <w:ind w:right="413" w:hanging="360"/>
      </w:pPr>
      <w:r>
        <w:rPr>
          <w:rFonts w:ascii="Times New Roman" w:eastAsia="Times New Roman" w:hAnsi="Times New Roman" w:cs="Times New Roman"/>
          <w:sz w:val="24"/>
        </w:rPr>
        <w:t>Equitable SRHR/GBV interventions should be geared towards vulnerable communities in hard-to-reach conflict settings and research should in</w:t>
      </w:r>
      <w:r>
        <w:rPr>
          <w:rFonts w:ascii="Times New Roman" w:eastAsia="Times New Roman" w:hAnsi="Times New Roman" w:cs="Times New Roman"/>
          <w:sz w:val="24"/>
        </w:rPr>
        <w:t xml:space="preserve">clude these vulnerable groups. </w:t>
      </w:r>
    </w:p>
    <w:p w:rsidR="00410213" w:rsidRDefault="00D877C6">
      <w:pPr>
        <w:pStyle w:val="Heading1"/>
        <w:spacing w:after="179"/>
        <w:ind w:left="355" w:right="0"/>
      </w:pPr>
      <w:bookmarkStart w:id="27" w:name="_Toc30323"/>
      <w:r>
        <w:t>3.</w:t>
      </w:r>
      <w:r>
        <w:rPr>
          <w:rFonts w:ascii="Arial" w:eastAsia="Arial" w:hAnsi="Arial" w:cs="Arial"/>
        </w:rPr>
        <w:t xml:space="preserve"> </w:t>
      </w:r>
      <w:r>
        <w:t xml:space="preserve">SUSTAINABILITY PLAN </w:t>
      </w:r>
      <w:bookmarkEnd w:id="27"/>
    </w:p>
    <w:p w:rsidR="00410213" w:rsidRDefault="00D877C6">
      <w:pPr>
        <w:numPr>
          <w:ilvl w:val="0"/>
          <w:numId w:val="10"/>
        </w:numPr>
        <w:spacing w:after="19" w:line="363" w:lineRule="auto"/>
        <w:ind w:right="413" w:hanging="360"/>
      </w:pPr>
      <w:r>
        <w:rPr>
          <w:rFonts w:ascii="Times New Roman" w:eastAsia="Times New Roman" w:hAnsi="Times New Roman" w:cs="Times New Roman"/>
          <w:sz w:val="24"/>
        </w:rPr>
        <w:t xml:space="preserve">Women leaders through their community meetings and groups such as “njangi” groups committed to continuing GBV sensitization to other women. </w:t>
      </w:r>
    </w:p>
    <w:p w:rsidR="00410213" w:rsidRDefault="00D877C6">
      <w:pPr>
        <w:numPr>
          <w:ilvl w:val="0"/>
          <w:numId w:val="10"/>
        </w:numPr>
        <w:spacing w:after="18" w:line="363" w:lineRule="auto"/>
        <w:ind w:right="413" w:hanging="360"/>
      </w:pPr>
      <w:r>
        <w:rPr>
          <w:rFonts w:ascii="Times New Roman" w:eastAsia="Times New Roman" w:hAnsi="Times New Roman" w:cs="Times New Roman"/>
          <w:sz w:val="24"/>
        </w:rPr>
        <w:t>Male</w:t>
      </w:r>
      <w:r>
        <w:t xml:space="preserve"> </w:t>
      </w:r>
      <w:r>
        <w:rPr>
          <w:rFonts w:ascii="Times New Roman" w:eastAsia="Times New Roman" w:hAnsi="Times New Roman" w:cs="Times New Roman"/>
          <w:sz w:val="24"/>
        </w:rPr>
        <w:t xml:space="preserve">leaders such as </w:t>
      </w:r>
      <w:r>
        <w:rPr>
          <w:rFonts w:ascii="Times New Roman" w:eastAsia="Times New Roman" w:hAnsi="Times New Roman" w:cs="Times New Roman"/>
          <w:sz w:val="24"/>
        </w:rPr>
        <w:t xml:space="preserve">chiefs, through their existing structures, championed and announced commitments towards enforcing GBV/SRHR victim support and punishment for perpetrators. </w:t>
      </w:r>
    </w:p>
    <w:p w:rsidR="00410213" w:rsidRDefault="00D877C6">
      <w:pPr>
        <w:numPr>
          <w:ilvl w:val="0"/>
          <w:numId w:val="10"/>
        </w:numPr>
        <w:spacing w:after="19" w:line="363" w:lineRule="auto"/>
        <w:ind w:right="413" w:hanging="360"/>
      </w:pPr>
      <w:r>
        <w:rPr>
          <w:rFonts w:ascii="Times New Roman" w:eastAsia="Times New Roman" w:hAnsi="Times New Roman" w:cs="Times New Roman"/>
          <w:sz w:val="24"/>
        </w:rPr>
        <w:t xml:space="preserve">Young girls and Catholic church representatives committed to continuing the outreach measures.  </w:t>
      </w:r>
    </w:p>
    <w:p w:rsidR="00410213" w:rsidRDefault="00D877C6">
      <w:pPr>
        <w:numPr>
          <w:ilvl w:val="0"/>
          <w:numId w:val="10"/>
        </w:numPr>
        <w:spacing w:after="157" w:line="361" w:lineRule="auto"/>
        <w:ind w:right="413" w:hanging="360"/>
      </w:pPr>
      <w:r>
        <w:rPr>
          <w:rFonts w:ascii="Times New Roman" w:eastAsia="Times New Roman" w:hAnsi="Times New Roman" w:cs="Times New Roman"/>
          <w:sz w:val="24"/>
        </w:rPr>
        <w:t>The</w:t>
      </w:r>
      <w:r>
        <w:rPr>
          <w:rFonts w:ascii="Times New Roman" w:eastAsia="Times New Roman" w:hAnsi="Times New Roman" w:cs="Times New Roman"/>
          <w:sz w:val="24"/>
        </w:rPr>
        <w:t xml:space="preserve"> Rotary Peace Fellow plans to apply for grants and conduct detailed research on specificities of existing SRHR/GBV gaps in conflict-affected settings of Cameroon, identify more sustainable change approaches and implemented identified solutions for long las</w:t>
      </w:r>
      <w:r>
        <w:rPr>
          <w:rFonts w:ascii="Times New Roman" w:eastAsia="Times New Roman" w:hAnsi="Times New Roman" w:cs="Times New Roman"/>
          <w:sz w:val="24"/>
        </w:rPr>
        <w:t xml:space="preserve">ting change.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4"/>
      </w:pPr>
      <w:r>
        <w:rPr>
          <w:rFonts w:ascii="Times New Roman" w:eastAsia="Times New Roman" w:hAnsi="Times New Roman" w:cs="Times New Roman"/>
          <w:sz w:val="24"/>
        </w:rPr>
        <w:t xml:space="preserve"> </w:t>
      </w:r>
    </w:p>
    <w:p w:rsidR="00410213" w:rsidRDefault="00D877C6">
      <w:pPr>
        <w:spacing w:after="276"/>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lastRenderedPageBreak/>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4"/>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6"/>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4"/>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6"/>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273"/>
      </w:pPr>
      <w:r>
        <w:rPr>
          <w:rFonts w:ascii="Times New Roman" w:eastAsia="Times New Roman" w:hAnsi="Times New Roman" w:cs="Times New Roman"/>
          <w:sz w:val="24"/>
        </w:rPr>
        <w:t xml:space="preserve"> </w:t>
      </w:r>
    </w:p>
    <w:p w:rsidR="00410213" w:rsidRDefault="00D877C6">
      <w:pPr>
        <w:spacing w:after="0"/>
      </w:pPr>
      <w:r>
        <w:rPr>
          <w:rFonts w:ascii="Times New Roman" w:eastAsia="Times New Roman" w:hAnsi="Times New Roman" w:cs="Times New Roman"/>
          <w:sz w:val="24"/>
        </w:rPr>
        <w:t xml:space="preserve"> </w:t>
      </w:r>
    </w:p>
    <w:p w:rsidR="00410213" w:rsidRDefault="00D877C6">
      <w:pPr>
        <w:pStyle w:val="Heading1"/>
        <w:spacing w:after="96" w:line="259" w:lineRule="auto"/>
        <w:ind w:right="422"/>
        <w:jc w:val="center"/>
      </w:pPr>
      <w:bookmarkStart w:id="28" w:name="_Toc30324"/>
      <w:r>
        <w:t xml:space="preserve">APPENDICES </w:t>
      </w:r>
      <w:bookmarkEnd w:id="28"/>
    </w:p>
    <w:p w:rsidR="00410213" w:rsidRDefault="00D877C6">
      <w:pPr>
        <w:spacing w:after="259"/>
      </w:pPr>
      <w:r>
        <w:t xml:space="preserve"> </w:t>
      </w:r>
    </w:p>
    <w:p w:rsidR="00410213" w:rsidRDefault="00D877C6">
      <w:pPr>
        <w:pStyle w:val="Heading1"/>
        <w:ind w:left="355" w:right="0"/>
      </w:pPr>
      <w:bookmarkStart w:id="29" w:name="_Toc30325"/>
      <w:r>
        <w:t>1.</w:t>
      </w:r>
      <w:r>
        <w:rPr>
          <w:rFonts w:ascii="Arial" w:eastAsia="Arial" w:hAnsi="Arial" w:cs="Arial"/>
        </w:rPr>
        <w:t xml:space="preserve"> </w:t>
      </w:r>
      <w:r>
        <w:t xml:space="preserve">REFERENCES  </w:t>
      </w:r>
      <w:bookmarkEnd w:id="29"/>
    </w:p>
    <w:p w:rsidR="00410213" w:rsidRDefault="00D877C6">
      <w:pPr>
        <w:spacing w:line="357" w:lineRule="auto"/>
        <w:ind w:left="-5" w:right="404" w:hanging="10"/>
        <w:jc w:val="both"/>
      </w:pPr>
      <w:r>
        <w:rPr>
          <w:rFonts w:ascii="Times New Roman" w:eastAsia="Times New Roman" w:hAnsi="Times New Roman" w:cs="Times New Roman"/>
          <w:sz w:val="24"/>
        </w:rPr>
        <w:t xml:space="preserve">BUCREP (2014) </w:t>
      </w:r>
      <w:r>
        <w:rPr>
          <w:rFonts w:ascii="Times New Roman" w:eastAsia="Times New Roman" w:hAnsi="Times New Roman" w:cs="Times New Roman"/>
          <w:i/>
          <w:sz w:val="24"/>
        </w:rPr>
        <w:t>National Report on the State of Cameroon Population.</w:t>
      </w:r>
      <w:r>
        <w:rPr>
          <w:rFonts w:ascii="Times New Roman" w:eastAsia="Times New Roman" w:hAnsi="Times New Roman" w:cs="Times New Roman"/>
          <w:sz w:val="24"/>
        </w:rPr>
        <w:t xml:space="preserve"> Available at; </w:t>
      </w:r>
      <w:hyperlink r:id="rId11">
        <w:r>
          <w:rPr>
            <w:rFonts w:ascii="Times New Roman" w:eastAsia="Times New Roman" w:hAnsi="Times New Roman" w:cs="Times New Roman"/>
            <w:color w:val="0563C1"/>
            <w:sz w:val="24"/>
            <w:u w:val="single" w:color="0563C1"/>
          </w:rPr>
          <w:t>http://www.bucrep.cm/index.php/fr/ressources</w:t>
        </w:r>
      </w:hyperlink>
      <w:hyperlink r:id="rId12">
        <w:r>
          <w:rPr>
            <w:rFonts w:ascii="Times New Roman" w:eastAsia="Times New Roman" w:hAnsi="Times New Roman" w:cs="Times New Roman"/>
            <w:color w:val="0563C1"/>
            <w:sz w:val="24"/>
            <w:u w:val="single" w:color="0563C1"/>
          </w:rPr>
          <w:t>-</w:t>
        </w:r>
      </w:hyperlink>
      <w:hyperlink r:id="rId13">
        <w:r>
          <w:rPr>
            <w:rFonts w:ascii="Times New Roman" w:eastAsia="Times New Roman" w:hAnsi="Times New Roman" w:cs="Times New Roman"/>
            <w:color w:val="0563C1"/>
            <w:sz w:val="24"/>
            <w:u w:val="single" w:color="0563C1"/>
          </w:rPr>
          <w:t>et</w:t>
        </w:r>
      </w:hyperlink>
      <w:hyperlink r:id="rId14">
        <w:r>
          <w:rPr>
            <w:rFonts w:ascii="Times New Roman" w:eastAsia="Times New Roman" w:hAnsi="Times New Roman" w:cs="Times New Roman"/>
            <w:color w:val="0563C1"/>
            <w:sz w:val="24"/>
            <w:u w:val="single" w:color="0563C1"/>
          </w:rPr>
          <w:t>-</w:t>
        </w:r>
      </w:hyperlink>
      <w:hyperlink r:id="rId15">
        <w:r>
          <w:rPr>
            <w:rFonts w:ascii="Times New Roman" w:eastAsia="Times New Roman" w:hAnsi="Times New Roman" w:cs="Times New Roman"/>
            <w:color w:val="0563C1"/>
            <w:sz w:val="24"/>
            <w:u w:val="single" w:color="0563C1"/>
          </w:rPr>
          <w:t>documentations/telechargement/category/60</w:t>
        </w:r>
      </w:hyperlink>
      <w:hyperlink r:id="rId16"/>
      <w:hyperlink r:id="rId17">
        <w:r>
          <w:rPr>
            <w:rFonts w:ascii="Times New Roman" w:eastAsia="Times New Roman" w:hAnsi="Times New Roman" w:cs="Times New Roman"/>
            <w:color w:val="0563C1"/>
            <w:sz w:val="24"/>
            <w:u w:val="single" w:color="0563C1"/>
          </w:rPr>
          <w:t>rnep</w:t>
        </w:r>
      </w:hyperlink>
      <w:hyperlink r:id="rId18">
        <w:r>
          <w:rPr>
            <w:rFonts w:ascii="Times New Roman" w:eastAsia="Times New Roman" w:hAnsi="Times New Roman" w:cs="Times New Roman"/>
            <w:color w:val="0563C1"/>
            <w:sz w:val="24"/>
            <w:u w:val="single" w:color="0563C1"/>
          </w:rPr>
          <w:t>-</w:t>
        </w:r>
      </w:hyperlink>
      <w:hyperlink r:id="rId19">
        <w:r>
          <w:rPr>
            <w:rFonts w:ascii="Times New Roman" w:eastAsia="Times New Roman" w:hAnsi="Times New Roman" w:cs="Times New Roman"/>
            <w:color w:val="0563C1"/>
            <w:sz w:val="24"/>
            <w:u w:val="single" w:color="0563C1"/>
          </w:rPr>
          <w:t>2014</w:t>
        </w:r>
      </w:hyperlink>
      <w:hyperlink r:id="rId20">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06 March 2023) </w:t>
      </w:r>
    </w:p>
    <w:p w:rsidR="00410213" w:rsidRDefault="00D877C6">
      <w:pPr>
        <w:spacing w:line="357" w:lineRule="auto"/>
        <w:ind w:left="-5" w:right="308" w:hanging="10"/>
      </w:pPr>
      <w:r>
        <w:rPr>
          <w:rFonts w:ascii="Times New Roman" w:eastAsia="Times New Roman" w:hAnsi="Times New Roman" w:cs="Times New Roman"/>
          <w:sz w:val="24"/>
        </w:rPr>
        <w:t xml:space="preserve">Center for Reproductive Rights (2021) </w:t>
      </w:r>
      <w:r>
        <w:rPr>
          <w:rFonts w:ascii="Times New Roman" w:eastAsia="Times New Roman" w:hAnsi="Times New Roman" w:cs="Times New Roman"/>
          <w:i/>
          <w:sz w:val="24"/>
        </w:rPr>
        <w:t>Lack of Access to SRHR Information in Kenya.</w:t>
      </w:r>
      <w:r>
        <w:rPr>
          <w:rFonts w:ascii="Times New Roman" w:eastAsia="Times New Roman" w:hAnsi="Times New Roman" w:cs="Times New Roman"/>
          <w:sz w:val="24"/>
        </w:rPr>
        <w:t xml:space="preserve"> Available at; </w:t>
      </w:r>
      <w:hyperlink r:id="rId21">
        <w:r>
          <w:rPr>
            <w:rFonts w:ascii="Times New Roman" w:eastAsia="Times New Roman" w:hAnsi="Times New Roman" w:cs="Times New Roman"/>
            <w:color w:val="0563C1"/>
            <w:sz w:val="24"/>
            <w:u w:val="single" w:color="0563C1"/>
          </w:rPr>
          <w:t>https://reproductiverights.org/es/report</w:t>
        </w:r>
      </w:hyperlink>
      <w:hyperlink r:id="rId22">
        <w:r>
          <w:rPr>
            <w:rFonts w:ascii="Times New Roman" w:eastAsia="Times New Roman" w:hAnsi="Times New Roman" w:cs="Times New Roman"/>
            <w:color w:val="0563C1"/>
            <w:sz w:val="24"/>
            <w:u w:val="single" w:color="0563C1"/>
          </w:rPr>
          <w:t>-</w:t>
        </w:r>
      </w:hyperlink>
      <w:hyperlink r:id="rId23">
        <w:r>
          <w:rPr>
            <w:rFonts w:ascii="Times New Roman" w:eastAsia="Times New Roman" w:hAnsi="Times New Roman" w:cs="Times New Roman"/>
            <w:color w:val="0563C1"/>
            <w:sz w:val="24"/>
            <w:u w:val="single" w:color="0563C1"/>
          </w:rPr>
          <w:t>highlights</w:t>
        </w:r>
      </w:hyperlink>
      <w:hyperlink r:id="rId24">
        <w:r>
          <w:rPr>
            <w:rFonts w:ascii="Times New Roman" w:eastAsia="Times New Roman" w:hAnsi="Times New Roman" w:cs="Times New Roman"/>
            <w:color w:val="0563C1"/>
            <w:sz w:val="24"/>
            <w:u w:val="single" w:color="0563C1"/>
          </w:rPr>
          <w:t>-</w:t>
        </w:r>
      </w:hyperlink>
      <w:hyperlink r:id="rId25">
        <w:r>
          <w:rPr>
            <w:rFonts w:ascii="Times New Roman" w:eastAsia="Times New Roman" w:hAnsi="Times New Roman" w:cs="Times New Roman"/>
            <w:color w:val="0563C1"/>
            <w:sz w:val="24"/>
            <w:u w:val="single" w:color="0563C1"/>
          </w:rPr>
          <w:t>lack</w:t>
        </w:r>
      </w:hyperlink>
      <w:hyperlink r:id="rId26">
        <w:r>
          <w:rPr>
            <w:rFonts w:ascii="Times New Roman" w:eastAsia="Times New Roman" w:hAnsi="Times New Roman" w:cs="Times New Roman"/>
            <w:color w:val="0563C1"/>
            <w:sz w:val="24"/>
            <w:u w:val="single" w:color="0563C1"/>
          </w:rPr>
          <w:t>-</w:t>
        </w:r>
      </w:hyperlink>
      <w:hyperlink r:id="rId27">
        <w:r>
          <w:rPr>
            <w:rFonts w:ascii="Times New Roman" w:eastAsia="Times New Roman" w:hAnsi="Times New Roman" w:cs="Times New Roman"/>
            <w:color w:val="0563C1"/>
            <w:sz w:val="24"/>
            <w:u w:val="single" w:color="0563C1"/>
          </w:rPr>
          <w:t>of</w:t>
        </w:r>
      </w:hyperlink>
      <w:hyperlink r:id="rId28">
        <w:r>
          <w:rPr>
            <w:rFonts w:ascii="Times New Roman" w:eastAsia="Times New Roman" w:hAnsi="Times New Roman" w:cs="Times New Roman"/>
            <w:color w:val="0563C1"/>
            <w:sz w:val="24"/>
            <w:u w:val="single" w:color="0563C1"/>
          </w:rPr>
          <w:t>-</w:t>
        </w:r>
      </w:hyperlink>
      <w:hyperlink r:id="rId29">
        <w:r>
          <w:rPr>
            <w:rFonts w:ascii="Times New Roman" w:eastAsia="Times New Roman" w:hAnsi="Times New Roman" w:cs="Times New Roman"/>
            <w:color w:val="0563C1"/>
            <w:sz w:val="24"/>
            <w:u w:val="single" w:color="0563C1"/>
          </w:rPr>
          <w:t>access</w:t>
        </w:r>
      </w:hyperlink>
      <w:hyperlink r:id="rId30">
        <w:r>
          <w:rPr>
            <w:rFonts w:ascii="Times New Roman" w:eastAsia="Times New Roman" w:hAnsi="Times New Roman" w:cs="Times New Roman"/>
            <w:color w:val="0563C1"/>
            <w:sz w:val="24"/>
            <w:u w:val="single" w:color="0563C1"/>
          </w:rPr>
          <w:t>-</w:t>
        </w:r>
      </w:hyperlink>
      <w:hyperlink r:id="rId31">
        <w:r>
          <w:rPr>
            <w:rFonts w:ascii="Times New Roman" w:eastAsia="Times New Roman" w:hAnsi="Times New Roman" w:cs="Times New Roman"/>
            <w:color w:val="0563C1"/>
            <w:sz w:val="24"/>
            <w:u w:val="single" w:color="0563C1"/>
          </w:rPr>
          <w:t>to</w:t>
        </w:r>
      </w:hyperlink>
      <w:hyperlink r:id="rId32">
        <w:r>
          <w:rPr>
            <w:rFonts w:ascii="Times New Roman" w:eastAsia="Times New Roman" w:hAnsi="Times New Roman" w:cs="Times New Roman"/>
            <w:color w:val="0563C1"/>
            <w:sz w:val="24"/>
            <w:u w:val="single" w:color="0563C1"/>
          </w:rPr>
          <w:t>-</w:t>
        </w:r>
      </w:hyperlink>
      <w:hyperlink r:id="rId33">
        <w:r>
          <w:rPr>
            <w:rFonts w:ascii="Times New Roman" w:eastAsia="Times New Roman" w:hAnsi="Times New Roman" w:cs="Times New Roman"/>
            <w:color w:val="0563C1"/>
            <w:sz w:val="24"/>
            <w:u w:val="single" w:color="0563C1"/>
          </w:rPr>
          <w:t>srhr</w:t>
        </w:r>
      </w:hyperlink>
      <w:hyperlink r:id="rId34">
        <w:r>
          <w:rPr>
            <w:rFonts w:ascii="Times New Roman" w:eastAsia="Times New Roman" w:hAnsi="Times New Roman" w:cs="Times New Roman"/>
            <w:color w:val="0563C1"/>
            <w:sz w:val="24"/>
            <w:u w:val="single" w:color="0563C1"/>
          </w:rPr>
          <w:t>-</w:t>
        </w:r>
      </w:hyperlink>
      <w:hyperlink r:id="rId35">
        <w:r>
          <w:rPr>
            <w:rFonts w:ascii="Times New Roman" w:eastAsia="Times New Roman" w:hAnsi="Times New Roman" w:cs="Times New Roman"/>
            <w:color w:val="0563C1"/>
            <w:sz w:val="24"/>
            <w:u w:val="single" w:color="0563C1"/>
          </w:rPr>
          <w:t>information</w:t>
        </w:r>
      </w:hyperlink>
      <w:hyperlink r:id="rId36">
        <w:r>
          <w:rPr>
            <w:rFonts w:ascii="Times New Roman" w:eastAsia="Times New Roman" w:hAnsi="Times New Roman" w:cs="Times New Roman"/>
            <w:color w:val="0563C1"/>
            <w:sz w:val="24"/>
            <w:u w:val="single" w:color="0563C1"/>
          </w:rPr>
          <w:t>-</w:t>
        </w:r>
      </w:hyperlink>
      <w:hyperlink r:id="rId37">
        <w:r>
          <w:rPr>
            <w:rFonts w:ascii="Times New Roman" w:eastAsia="Times New Roman" w:hAnsi="Times New Roman" w:cs="Times New Roman"/>
            <w:color w:val="0563C1"/>
            <w:sz w:val="24"/>
            <w:u w:val="single" w:color="0563C1"/>
          </w:rPr>
          <w:t>in</w:t>
        </w:r>
      </w:hyperlink>
      <w:hyperlink r:id="rId38">
        <w:r>
          <w:rPr>
            <w:rFonts w:ascii="Times New Roman" w:eastAsia="Times New Roman" w:hAnsi="Times New Roman" w:cs="Times New Roman"/>
            <w:color w:val="0563C1"/>
            <w:sz w:val="24"/>
            <w:u w:val="single" w:color="0563C1"/>
          </w:rPr>
          <w:t>-</w:t>
        </w:r>
      </w:hyperlink>
      <w:hyperlink r:id="rId39">
        <w:r>
          <w:rPr>
            <w:rFonts w:ascii="Times New Roman" w:eastAsia="Times New Roman" w:hAnsi="Times New Roman" w:cs="Times New Roman"/>
            <w:color w:val="0563C1"/>
            <w:sz w:val="24"/>
            <w:u w:val="single" w:color="0563C1"/>
          </w:rPr>
          <w:t>kenya/</w:t>
        </w:r>
      </w:hyperlink>
      <w:hyperlink r:id="rId40">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17 February 2023). </w:t>
      </w:r>
    </w:p>
    <w:p w:rsidR="00410213" w:rsidRDefault="00D877C6">
      <w:pPr>
        <w:spacing w:after="132"/>
        <w:ind w:left="-5" w:right="413" w:hanging="10"/>
      </w:pPr>
      <w:r>
        <w:rPr>
          <w:rFonts w:ascii="Times New Roman" w:eastAsia="Times New Roman" w:hAnsi="Times New Roman" w:cs="Times New Roman"/>
          <w:sz w:val="24"/>
        </w:rPr>
        <w:t xml:space="preserve">Cummings, S., Bridgman, T., and Brown, K. G. (2016). Unfreezing change as three steps: </w:t>
      </w:r>
    </w:p>
    <w:p w:rsidR="00410213" w:rsidRDefault="00D877C6">
      <w:pPr>
        <w:spacing w:after="115"/>
        <w:ind w:left="-5" w:right="413" w:hanging="10"/>
      </w:pPr>
      <w:r>
        <w:rPr>
          <w:rFonts w:ascii="Times New Roman" w:eastAsia="Times New Roman" w:hAnsi="Times New Roman" w:cs="Times New Roman"/>
          <w:sz w:val="24"/>
        </w:rPr>
        <w:lastRenderedPageBreak/>
        <w:t>Rethinking Kurt Lewin’s legacy for cha</w:t>
      </w:r>
      <w:r>
        <w:rPr>
          <w:rFonts w:ascii="Times New Roman" w:eastAsia="Times New Roman" w:hAnsi="Times New Roman" w:cs="Times New Roman"/>
          <w:sz w:val="24"/>
        </w:rPr>
        <w:t xml:space="preserve">nge management. </w:t>
      </w:r>
      <w:r>
        <w:rPr>
          <w:rFonts w:ascii="Times New Roman" w:eastAsia="Times New Roman" w:hAnsi="Times New Roman" w:cs="Times New Roman"/>
          <w:i/>
          <w:sz w:val="24"/>
        </w:rPr>
        <w:t>Human Relations</w:t>
      </w:r>
      <w:r>
        <w:rPr>
          <w:rFonts w:ascii="Times New Roman" w:eastAsia="Times New Roman" w:hAnsi="Times New Roman" w:cs="Times New Roman"/>
          <w:sz w:val="24"/>
        </w:rPr>
        <w:t xml:space="preserve">, </w:t>
      </w:r>
      <w:r>
        <w:rPr>
          <w:rFonts w:ascii="Times New Roman" w:eastAsia="Times New Roman" w:hAnsi="Times New Roman" w:cs="Times New Roman"/>
          <w:i/>
          <w:sz w:val="24"/>
        </w:rPr>
        <w:t>69</w:t>
      </w:r>
      <w:r>
        <w:rPr>
          <w:rFonts w:ascii="Times New Roman" w:eastAsia="Times New Roman" w:hAnsi="Times New Roman" w:cs="Times New Roman"/>
          <w:sz w:val="24"/>
        </w:rPr>
        <w:t xml:space="preserve">(1), 33–60. </w:t>
      </w:r>
    </w:p>
    <w:p w:rsidR="00410213" w:rsidRDefault="00D877C6">
      <w:pPr>
        <w:spacing w:after="273"/>
        <w:ind w:left="-5" w:right="413" w:hanging="10"/>
      </w:pPr>
      <w:r>
        <w:rPr>
          <w:rFonts w:ascii="Times New Roman" w:eastAsia="Times New Roman" w:hAnsi="Times New Roman" w:cs="Times New Roman"/>
          <w:sz w:val="24"/>
        </w:rPr>
        <w:t xml:space="preserve">Available at: </w:t>
      </w:r>
      <w:hyperlink r:id="rId41">
        <w:r>
          <w:rPr>
            <w:rFonts w:ascii="Times New Roman" w:eastAsia="Times New Roman" w:hAnsi="Times New Roman" w:cs="Times New Roman"/>
            <w:sz w:val="24"/>
          </w:rPr>
          <w:t xml:space="preserve"> </w:t>
        </w:r>
      </w:hyperlink>
      <w:hyperlink r:id="rId42">
        <w:r>
          <w:rPr>
            <w:rFonts w:ascii="Times New Roman" w:eastAsia="Times New Roman" w:hAnsi="Times New Roman" w:cs="Times New Roman"/>
            <w:color w:val="0563C1"/>
            <w:sz w:val="24"/>
            <w:u w:val="single" w:color="0563C1"/>
          </w:rPr>
          <w:t>https://doi.org/10.1177/0018726715577707</w:t>
        </w:r>
      </w:hyperlink>
      <w:hyperlink r:id="rId43">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02 September 2023) </w:t>
      </w:r>
    </w:p>
    <w:p w:rsidR="00410213" w:rsidRDefault="00D877C6">
      <w:pPr>
        <w:spacing w:after="157" w:line="361" w:lineRule="auto"/>
        <w:ind w:left="-5" w:right="405" w:hanging="10"/>
        <w:jc w:val="both"/>
      </w:pPr>
      <w:r>
        <w:rPr>
          <w:rFonts w:ascii="Times New Roman" w:eastAsia="Times New Roman" w:hAnsi="Times New Roman" w:cs="Times New Roman"/>
          <w:sz w:val="24"/>
        </w:rPr>
        <w:t>Freeman, R.E., Mead, J. and Manthy, L. (2018)</w:t>
      </w:r>
      <w:r>
        <w:rPr>
          <w:rFonts w:ascii="Times New Roman" w:eastAsia="Times New Roman" w:hAnsi="Times New Roman" w:cs="Times New Roman"/>
          <w:i/>
          <w:sz w:val="24"/>
        </w:rPr>
        <w:t xml:space="preserve"> Gender Issues in the Workplace: Harvard Business Review Case Study. </w:t>
      </w:r>
      <w:r>
        <w:rPr>
          <w:rFonts w:ascii="Times New Roman" w:eastAsia="Times New Roman" w:hAnsi="Times New Roman" w:cs="Times New Roman"/>
          <w:sz w:val="24"/>
        </w:rPr>
        <w:t>Available at: https://embapro.com/frontpage/pestelcase/11421-workplace</w:t>
      </w:r>
      <w:r>
        <w:rPr>
          <w:rFonts w:ascii="Times New Roman" w:eastAsia="Times New Roman" w:hAnsi="Times New Roman" w:cs="Times New Roman"/>
          <w:sz w:val="24"/>
        </w:rPr>
        <w:t xml:space="preserve">sexual (Accessed: 06 March 2023) </w:t>
      </w:r>
    </w:p>
    <w:p w:rsidR="00410213" w:rsidRDefault="00D877C6">
      <w:pPr>
        <w:spacing w:after="0" w:line="363" w:lineRule="auto"/>
        <w:ind w:left="-5" w:right="413" w:hanging="10"/>
      </w:pPr>
      <w:r>
        <w:rPr>
          <w:rFonts w:ascii="Times New Roman" w:eastAsia="Times New Roman" w:hAnsi="Times New Roman" w:cs="Times New Roman"/>
          <w:sz w:val="24"/>
        </w:rPr>
        <w:t xml:space="preserve">Global Citizen (2021) </w:t>
      </w:r>
      <w:r>
        <w:rPr>
          <w:rFonts w:ascii="Times New Roman" w:eastAsia="Times New Roman" w:hAnsi="Times New Roman" w:cs="Times New Roman"/>
          <w:i/>
          <w:sz w:val="24"/>
        </w:rPr>
        <w:t>What is SRHR?</w:t>
      </w:r>
      <w:r>
        <w:rPr>
          <w:rFonts w:ascii="Times New Roman" w:eastAsia="Times New Roman" w:hAnsi="Times New Roman" w:cs="Times New Roman"/>
          <w:sz w:val="24"/>
        </w:rPr>
        <w:t xml:space="preserve"> Available at; </w:t>
      </w:r>
      <w:hyperlink r:id="rId44">
        <w:r>
          <w:rPr>
            <w:rFonts w:ascii="Times New Roman" w:eastAsia="Times New Roman" w:hAnsi="Times New Roman" w:cs="Times New Roman"/>
            <w:color w:val="0563C1"/>
            <w:sz w:val="24"/>
            <w:u w:val="single" w:color="0563C1"/>
          </w:rPr>
          <w:t>https://www.globalcitizen.org/en/content/what</w:t>
        </w:r>
      </w:hyperlink>
      <w:hyperlink r:id="rId45">
        <w:r>
          <w:rPr>
            <w:rFonts w:ascii="Times New Roman" w:eastAsia="Times New Roman" w:hAnsi="Times New Roman" w:cs="Times New Roman"/>
            <w:color w:val="0563C1"/>
            <w:sz w:val="24"/>
            <w:u w:val="single" w:color="0563C1"/>
          </w:rPr>
          <w:t>-</w:t>
        </w:r>
      </w:hyperlink>
      <w:hyperlink r:id="rId46">
        <w:r>
          <w:rPr>
            <w:rFonts w:ascii="Times New Roman" w:eastAsia="Times New Roman" w:hAnsi="Times New Roman" w:cs="Times New Roman"/>
            <w:color w:val="0563C1"/>
            <w:sz w:val="24"/>
            <w:u w:val="single" w:color="0563C1"/>
          </w:rPr>
          <w:t>is</w:t>
        </w:r>
      </w:hyperlink>
      <w:hyperlink r:id="rId47">
        <w:r>
          <w:rPr>
            <w:rFonts w:ascii="Times New Roman" w:eastAsia="Times New Roman" w:hAnsi="Times New Roman" w:cs="Times New Roman"/>
            <w:color w:val="0563C1"/>
            <w:sz w:val="24"/>
            <w:u w:val="single" w:color="0563C1"/>
          </w:rPr>
          <w:t>-</w:t>
        </w:r>
      </w:hyperlink>
      <w:hyperlink r:id="rId48">
        <w:r>
          <w:rPr>
            <w:rFonts w:ascii="Times New Roman" w:eastAsia="Times New Roman" w:hAnsi="Times New Roman" w:cs="Times New Roman"/>
            <w:color w:val="0563C1"/>
            <w:sz w:val="24"/>
            <w:u w:val="single" w:color="0563C1"/>
          </w:rPr>
          <w:t>srhr/</w:t>
        </w:r>
      </w:hyperlink>
      <w:hyperlink r:id="rId4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06 March 2023).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54" w:line="363" w:lineRule="auto"/>
        <w:ind w:left="-5" w:right="413" w:hanging="10"/>
      </w:pPr>
      <w:r>
        <w:rPr>
          <w:rFonts w:ascii="Times New Roman" w:eastAsia="Times New Roman" w:hAnsi="Times New Roman" w:cs="Times New Roman"/>
          <w:sz w:val="24"/>
        </w:rPr>
        <w:t xml:space="preserve">Heidari, S. and Moreno, C.G. (2016) ‘Gender-based violence: a barrier to sexual and reproductive health and rights’ </w:t>
      </w:r>
      <w:r>
        <w:rPr>
          <w:rFonts w:ascii="Times New Roman" w:eastAsia="Times New Roman" w:hAnsi="Times New Roman" w:cs="Times New Roman"/>
          <w:i/>
          <w:sz w:val="24"/>
        </w:rPr>
        <w:t>Reprod Health Matters</w:t>
      </w:r>
      <w:r>
        <w:rPr>
          <w:rFonts w:ascii="Times New Roman" w:eastAsia="Times New Roman" w:hAnsi="Times New Roman" w:cs="Times New Roman"/>
          <w:sz w:val="24"/>
        </w:rPr>
        <w:t xml:space="preserve">, 24: 1–4. </w:t>
      </w:r>
    </w:p>
    <w:p w:rsidR="00410213" w:rsidRDefault="00D877C6">
      <w:pPr>
        <w:spacing w:line="357" w:lineRule="auto"/>
        <w:ind w:left="-5" w:right="404" w:hanging="10"/>
        <w:jc w:val="both"/>
      </w:pPr>
      <w:r>
        <w:rPr>
          <w:rFonts w:ascii="Times New Roman" w:eastAsia="Times New Roman" w:hAnsi="Times New Roman" w:cs="Times New Roman"/>
          <w:sz w:val="24"/>
        </w:rPr>
        <w:t>Intern</w:t>
      </w:r>
      <w:r>
        <w:rPr>
          <w:rFonts w:ascii="Times New Roman" w:eastAsia="Times New Roman" w:hAnsi="Times New Roman" w:cs="Times New Roman"/>
          <w:sz w:val="24"/>
        </w:rPr>
        <w:t xml:space="preserve">ational Medical Corps (2018) </w:t>
      </w:r>
      <w:r>
        <w:rPr>
          <w:rFonts w:ascii="Times New Roman" w:eastAsia="Times New Roman" w:hAnsi="Times New Roman" w:cs="Times New Roman"/>
          <w:i/>
          <w:sz w:val="24"/>
        </w:rPr>
        <w:t>Needs Assessment Report: South-West Region</w:t>
      </w:r>
      <w:r>
        <w:rPr>
          <w:rFonts w:ascii="Times New Roman" w:eastAsia="Times New Roman" w:hAnsi="Times New Roman" w:cs="Times New Roman"/>
          <w:sz w:val="24"/>
        </w:rPr>
        <w:t xml:space="preserve">. Available at; </w:t>
      </w:r>
      <w:hyperlink r:id="rId50">
        <w:r>
          <w:rPr>
            <w:rFonts w:ascii="Times New Roman" w:eastAsia="Times New Roman" w:hAnsi="Times New Roman" w:cs="Times New Roman"/>
            <w:color w:val="0563C1"/>
            <w:sz w:val="24"/>
            <w:u w:val="single" w:color="0563C1"/>
          </w:rPr>
          <w:t>https://reliefweb.int/report/cameroon/needs</w:t>
        </w:r>
      </w:hyperlink>
      <w:hyperlink r:id="rId51">
        <w:r>
          <w:rPr>
            <w:rFonts w:ascii="Times New Roman" w:eastAsia="Times New Roman" w:hAnsi="Times New Roman" w:cs="Times New Roman"/>
            <w:color w:val="0563C1"/>
            <w:sz w:val="24"/>
            <w:u w:val="single" w:color="0563C1"/>
          </w:rPr>
          <w:t>-</w:t>
        </w:r>
      </w:hyperlink>
      <w:hyperlink r:id="rId52">
        <w:r>
          <w:rPr>
            <w:rFonts w:ascii="Times New Roman" w:eastAsia="Times New Roman" w:hAnsi="Times New Roman" w:cs="Times New Roman"/>
            <w:color w:val="0563C1"/>
            <w:sz w:val="24"/>
            <w:u w:val="single" w:color="0563C1"/>
          </w:rPr>
          <w:t>assessment</w:t>
        </w:r>
      </w:hyperlink>
      <w:hyperlink r:id="rId53">
        <w:r>
          <w:rPr>
            <w:rFonts w:ascii="Times New Roman" w:eastAsia="Times New Roman" w:hAnsi="Times New Roman" w:cs="Times New Roman"/>
            <w:color w:val="0563C1"/>
            <w:sz w:val="24"/>
            <w:u w:val="single" w:color="0563C1"/>
          </w:rPr>
          <w:t>-</w:t>
        </w:r>
      </w:hyperlink>
      <w:hyperlink r:id="rId54">
        <w:r>
          <w:rPr>
            <w:rFonts w:ascii="Times New Roman" w:eastAsia="Times New Roman" w:hAnsi="Times New Roman" w:cs="Times New Roman"/>
            <w:color w:val="0563C1"/>
            <w:sz w:val="24"/>
            <w:u w:val="single" w:color="0563C1"/>
          </w:rPr>
          <w:t>report</w:t>
        </w:r>
      </w:hyperlink>
      <w:hyperlink r:id="rId55">
        <w:r>
          <w:rPr>
            <w:rFonts w:ascii="Times New Roman" w:eastAsia="Times New Roman" w:hAnsi="Times New Roman" w:cs="Times New Roman"/>
            <w:color w:val="0563C1"/>
            <w:sz w:val="24"/>
            <w:u w:val="single" w:color="0563C1"/>
          </w:rPr>
          <w:t>-</w:t>
        </w:r>
      </w:hyperlink>
      <w:hyperlink r:id="rId56">
        <w:r>
          <w:rPr>
            <w:rFonts w:ascii="Times New Roman" w:eastAsia="Times New Roman" w:hAnsi="Times New Roman" w:cs="Times New Roman"/>
            <w:color w:val="0563C1"/>
            <w:sz w:val="24"/>
            <w:u w:val="single" w:color="0563C1"/>
          </w:rPr>
          <w:t>south</w:t>
        </w:r>
      </w:hyperlink>
      <w:hyperlink r:id="rId57">
        <w:r>
          <w:rPr>
            <w:rFonts w:ascii="Times New Roman" w:eastAsia="Times New Roman" w:hAnsi="Times New Roman" w:cs="Times New Roman"/>
            <w:color w:val="0563C1"/>
            <w:sz w:val="24"/>
            <w:u w:val="single" w:color="0563C1"/>
          </w:rPr>
          <w:t>-</w:t>
        </w:r>
      </w:hyperlink>
      <w:hyperlink r:id="rId58">
        <w:r>
          <w:rPr>
            <w:rFonts w:ascii="Times New Roman" w:eastAsia="Times New Roman" w:hAnsi="Times New Roman" w:cs="Times New Roman"/>
            <w:color w:val="0563C1"/>
            <w:sz w:val="24"/>
            <w:u w:val="single" w:color="0563C1"/>
          </w:rPr>
          <w:t>west</w:t>
        </w:r>
      </w:hyperlink>
      <w:hyperlink r:id="rId59">
        <w:r>
          <w:rPr>
            <w:rFonts w:ascii="Times New Roman" w:eastAsia="Times New Roman" w:hAnsi="Times New Roman" w:cs="Times New Roman"/>
            <w:color w:val="0563C1"/>
            <w:sz w:val="24"/>
            <w:u w:val="single" w:color="0563C1"/>
          </w:rPr>
          <w:t>-</w:t>
        </w:r>
      </w:hyperlink>
      <w:hyperlink r:id="rId60">
        <w:r>
          <w:rPr>
            <w:rFonts w:ascii="Times New Roman" w:eastAsia="Times New Roman" w:hAnsi="Times New Roman" w:cs="Times New Roman"/>
            <w:color w:val="0563C1"/>
            <w:sz w:val="24"/>
            <w:u w:val="single" w:color="0563C1"/>
          </w:rPr>
          <w:t>region</w:t>
        </w:r>
      </w:hyperlink>
      <w:hyperlink r:id="rId61">
        <w:r>
          <w:rPr>
            <w:rFonts w:ascii="Times New Roman" w:eastAsia="Times New Roman" w:hAnsi="Times New Roman" w:cs="Times New Roman"/>
            <w:color w:val="0563C1"/>
            <w:sz w:val="24"/>
            <w:u w:val="single" w:color="0563C1"/>
          </w:rPr>
          <w:t>-</w:t>
        </w:r>
      </w:hyperlink>
      <w:hyperlink r:id="rId62">
        <w:r>
          <w:rPr>
            <w:rFonts w:ascii="Times New Roman" w:eastAsia="Times New Roman" w:hAnsi="Times New Roman" w:cs="Times New Roman"/>
            <w:color w:val="0563C1"/>
            <w:sz w:val="24"/>
            <w:u w:val="single" w:color="0563C1"/>
          </w:rPr>
          <w:t>cameroon</w:t>
        </w:r>
      </w:hyperlink>
      <w:hyperlink r:id="rId63">
        <w:r>
          <w:rPr>
            <w:rFonts w:ascii="Times New Roman" w:eastAsia="Times New Roman" w:hAnsi="Times New Roman" w:cs="Times New Roman"/>
            <w:color w:val="0563C1"/>
            <w:sz w:val="24"/>
            <w:u w:val="single" w:color="0563C1"/>
          </w:rPr>
          <w:t>-</w:t>
        </w:r>
      </w:hyperlink>
      <w:hyperlink r:id="rId64">
        <w:r>
          <w:rPr>
            <w:rFonts w:ascii="Times New Roman" w:eastAsia="Times New Roman" w:hAnsi="Times New Roman" w:cs="Times New Roman"/>
            <w:color w:val="0563C1"/>
            <w:sz w:val="24"/>
            <w:u w:val="single" w:color="0563C1"/>
          </w:rPr>
          <w:t>july</w:t>
        </w:r>
      </w:hyperlink>
      <w:hyperlink r:id="rId65"/>
      <w:hyperlink r:id="rId66">
        <w:r>
          <w:rPr>
            <w:rFonts w:ascii="Times New Roman" w:eastAsia="Times New Roman" w:hAnsi="Times New Roman" w:cs="Times New Roman"/>
            <w:color w:val="0563C1"/>
            <w:sz w:val="24"/>
            <w:u w:val="single" w:color="0563C1"/>
          </w:rPr>
          <w:t>2018</w:t>
        </w:r>
      </w:hyperlink>
      <w:hyperlink r:id="rId67">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06 March 2023) </w:t>
      </w:r>
    </w:p>
    <w:p w:rsidR="00410213" w:rsidRDefault="00D877C6">
      <w:pPr>
        <w:spacing w:after="154"/>
        <w:ind w:left="-5" w:right="413" w:hanging="10"/>
      </w:pPr>
      <w:r>
        <w:rPr>
          <w:rFonts w:ascii="Times New Roman" w:eastAsia="Times New Roman" w:hAnsi="Times New Roman" w:cs="Times New Roman"/>
          <w:sz w:val="24"/>
        </w:rPr>
        <w:t xml:space="preserve">Lau, V. W., Scott, V., Warren, M. A. and Bligh, M. (2022) ‘Moving from problems to solutions: </w:t>
      </w:r>
    </w:p>
    <w:p w:rsidR="00410213" w:rsidRDefault="00D877C6">
      <w:pPr>
        <w:spacing w:after="0" w:line="363" w:lineRule="auto"/>
        <w:ind w:left="-5" w:right="413" w:hanging="10"/>
      </w:pPr>
      <w:r>
        <w:rPr>
          <w:rFonts w:ascii="Times New Roman" w:eastAsia="Times New Roman" w:hAnsi="Times New Roman" w:cs="Times New Roman"/>
          <w:sz w:val="24"/>
        </w:rPr>
        <w:t xml:space="preserve">A review of gender equality interventions at work using an ecological systems approach’ </w:t>
      </w:r>
      <w:r>
        <w:rPr>
          <w:rFonts w:ascii="Times New Roman" w:eastAsia="Times New Roman" w:hAnsi="Times New Roman" w:cs="Times New Roman"/>
          <w:i/>
          <w:sz w:val="24"/>
        </w:rPr>
        <w:t>Journal of Organizational Behavior,</w:t>
      </w:r>
      <w:r>
        <w:rPr>
          <w:rFonts w:ascii="Times New Roman" w:eastAsia="Times New Roman" w:hAnsi="Times New Roman" w:cs="Times New Roman"/>
          <w:sz w:val="24"/>
        </w:rPr>
        <w:t xml:space="preserve"> 1–20. Available at: </w:t>
      </w:r>
      <w:hyperlink r:id="rId68">
        <w:r>
          <w:rPr>
            <w:rFonts w:ascii="Times New Roman" w:eastAsia="Times New Roman" w:hAnsi="Times New Roman" w:cs="Times New Roman"/>
            <w:color w:val="0000FF"/>
            <w:sz w:val="24"/>
            <w:u w:val="single" w:color="0000FF"/>
          </w:rPr>
          <w:t>https://doi.org/10.1002/job.2654</w:t>
        </w:r>
      </w:hyperlink>
      <w:hyperlink r:id="rId6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08 March 2023). </w:t>
      </w:r>
    </w:p>
    <w:p w:rsidR="00410213" w:rsidRDefault="00D877C6">
      <w:pPr>
        <w:spacing w:after="124"/>
      </w:pPr>
      <w:r>
        <w:rPr>
          <w:rFonts w:ascii="Times New Roman" w:eastAsia="Times New Roman" w:hAnsi="Times New Roman" w:cs="Times New Roman"/>
          <w:sz w:val="24"/>
        </w:rPr>
        <w:t xml:space="preserve"> </w:t>
      </w:r>
    </w:p>
    <w:p w:rsidR="00410213" w:rsidRDefault="00D877C6">
      <w:pPr>
        <w:spacing w:after="154" w:line="363" w:lineRule="auto"/>
        <w:ind w:left="-5" w:right="413" w:hanging="10"/>
      </w:pPr>
      <w:r>
        <w:rPr>
          <w:rFonts w:ascii="Times New Roman" w:eastAsia="Times New Roman" w:hAnsi="Times New Roman" w:cs="Times New Roman"/>
          <w:sz w:val="24"/>
        </w:rPr>
        <w:t>McGranahan, M., Bruno-McClung, E.</w:t>
      </w:r>
      <w:r>
        <w:rPr>
          <w:rFonts w:ascii="Times New Roman" w:eastAsia="Times New Roman" w:hAnsi="Times New Roman" w:cs="Times New Roman"/>
          <w:sz w:val="24"/>
        </w:rPr>
        <w:t xml:space="preserve">, Nakyeyune, J. et al. (2021) ‘Realising sexual and reproductive health and rights of adolescent girls and young women living in slums in Uganda: a qualitative study’ </w:t>
      </w:r>
      <w:r>
        <w:rPr>
          <w:rFonts w:ascii="Times New Roman" w:eastAsia="Times New Roman" w:hAnsi="Times New Roman" w:cs="Times New Roman"/>
          <w:i/>
          <w:sz w:val="24"/>
        </w:rPr>
        <w:t>Reprod Health</w:t>
      </w:r>
      <w:r>
        <w:rPr>
          <w:rFonts w:ascii="Times New Roman" w:eastAsia="Times New Roman" w:hAnsi="Times New Roman" w:cs="Times New Roman"/>
          <w:sz w:val="24"/>
        </w:rPr>
        <w:t xml:space="preserve">, 18: 125. </w:t>
      </w:r>
    </w:p>
    <w:p w:rsidR="00410213" w:rsidRDefault="00D877C6">
      <w:pPr>
        <w:spacing w:after="2" w:line="363" w:lineRule="auto"/>
        <w:ind w:left="-5" w:right="413" w:hanging="10"/>
      </w:pPr>
      <w:r>
        <w:rPr>
          <w:rFonts w:ascii="Times New Roman" w:eastAsia="Times New Roman" w:hAnsi="Times New Roman" w:cs="Times New Roman"/>
          <w:sz w:val="24"/>
        </w:rPr>
        <w:t>Nansseu, J.R.N., Nchinda, E.C., Katte, J.C. et al. (2015) ‘Asses</w:t>
      </w:r>
      <w:r>
        <w:rPr>
          <w:rFonts w:ascii="Times New Roman" w:eastAsia="Times New Roman" w:hAnsi="Times New Roman" w:cs="Times New Roman"/>
          <w:sz w:val="24"/>
        </w:rPr>
        <w:t xml:space="preserve">sing the knowledge, attitude and practice of family planning among women living in the Mbouda health district, Cameroon’ </w:t>
      </w:r>
      <w:r>
        <w:rPr>
          <w:rFonts w:ascii="Times New Roman" w:eastAsia="Times New Roman" w:hAnsi="Times New Roman" w:cs="Times New Roman"/>
          <w:i/>
          <w:sz w:val="24"/>
        </w:rPr>
        <w:t>Reprod Health</w:t>
      </w:r>
      <w:r>
        <w:rPr>
          <w:rFonts w:ascii="Times New Roman" w:eastAsia="Times New Roman" w:hAnsi="Times New Roman" w:cs="Times New Roman"/>
          <w:sz w:val="24"/>
        </w:rPr>
        <w:t xml:space="preserve">, 12: 92.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 w:line="357" w:lineRule="auto"/>
        <w:ind w:left="-5" w:right="308" w:hanging="10"/>
      </w:pPr>
      <w:r>
        <w:rPr>
          <w:rFonts w:ascii="Times New Roman" w:eastAsia="Times New Roman" w:hAnsi="Times New Roman" w:cs="Times New Roman"/>
          <w:sz w:val="24"/>
        </w:rPr>
        <w:t xml:space="preserve">OHCHR (2021) </w:t>
      </w:r>
      <w:r>
        <w:rPr>
          <w:rFonts w:ascii="Times New Roman" w:eastAsia="Times New Roman" w:hAnsi="Times New Roman" w:cs="Times New Roman"/>
          <w:i/>
          <w:sz w:val="24"/>
        </w:rPr>
        <w:t>Sexual and reproductive health and rights.</w:t>
      </w:r>
      <w:r>
        <w:rPr>
          <w:rFonts w:ascii="Times New Roman" w:eastAsia="Times New Roman" w:hAnsi="Times New Roman" w:cs="Times New Roman"/>
          <w:sz w:val="24"/>
        </w:rPr>
        <w:t xml:space="preserve"> Available at; </w:t>
      </w:r>
      <w:hyperlink r:id="rId70">
        <w:r>
          <w:rPr>
            <w:rFonts w:ascii="Times New Roman" w:eastAsia="Times New Roman" w:hAnsi="Times New Roman" w:cs="Times New Roman"/>
            <w:color w:val="0563C1"/>
            <w:sz w:val="24"/>
            <w:u w:val="single" w:color="0563C1"/>
          </w:rPr>
          <w:t>https://www.ohchr.org/en/issues/women/wrgs/pages/healthrights.aspx</w:t>
        </w:r>
      </w:hyperlink>
      <w:hyperlink r:id="rId7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(Accessed: 08 March 2023).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54"/>
        <w:ind w:left="-5" w:right="413" w:hanging="10"/>
      </w:pPr>
      <w:r>
        <w:rPr>
          <w:rFonts w:ascii="Times New Roman" w:eastAsia="Times New Roman" w:hAnsi="Times New Roman" w:cs="Times New Roman"/>
          <w:sz w:val="24"/>
        </w:rPr>
        <w:t xml:space="preserve">Tabassum, N. and Nayak, B. S. (2021) ‘Gender Stereotypes and their Impact on Women’s Career </w:t>
      </w:r>
    </w:p>
    <w:p w:rsidR="00410213" w:rsidRDefault="00D877C6">
      <w:pPr>
        <w:spacing w:after="0" w:line="363" w:lineRule="auto"/>
        <w:ind w:left="-5" w:right="413" w:hanging="10"/>
      </w:pPr>
      <w:r>
        <w:rPr>
          <w:rFonts w:ascii="Times New Roman" w:eastAsia="Times New Roman" w:hAnsi="Times New Roman" w:cs="Times New Roman"/>
          <w:sz w:val="24"/>
        </w:rPr>
        <w:t>Progressions from a Managerial Perspective’</w:t>
      </w:r>
      <w:r>
        <w:rPr>
          <w:rFonts w:ascii="Times New Roman" w:eastAsia="Times New Roman" w:hAnsi="Times New Roman" w:cs="Times New Roman"/>
          <w:i/>
          <w:sz w:val="24"/>
        </w:rPr>
        <w:t xml:space="preserve"> IIM Kozhikode Society &amp; Management Review</w:t>
      </w:r>
      <w:r>
        <w:rPr>
          <w:rFonts w:ascii="Times New Roman" w:eastAsia="Times New Roman" w:hAnsi="Times New Roman" w:cs="Times New Roman"/>
          <w:sz w:val="24"/>
        </w:rPr>
        <w:t xml:space="preserve">, 10(2), 192–208. Available at: </w:t>
      </w:r>
      <w:hyperlink r:id="rId72">
        <w:r>
          <w:rPr>
            <w:rFonts w:ascii="Times New Roman" w:eastAsia="Times New Roman" w:hAnsi="Times New Roman" w:cs="Times New Roman"/>
            <w:color w:val="0000FF"/>
            <w:sz w:val="24"/>
            <w:u w:val="single" w:color="0000FF"/>
          </w:rPr>
          <w:t>https://doi.org/10.1177/2277975220975513</w:t>
        </w:r>
      </w:hyperlink>
      <w:hyperlink r:id="rId73">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08 March 2023). </w:t>
      </w:r>
    </w:p>
    <w:p w:rsidR="00410213" w:rsidRDefault="00D877C6">
      <w:pPr>
        <w:spacing w:after="112"/>
      </w:pPr>
      <w:r>
        <w:rPr>
          <w:rFonts w:ascii="Times New Roman" w:eastAsia="Times New Roman" w:hAnsi="Times New Roman" w:cs="Times New Roman"/>
          <w:sz w:val="24"/>
        </w:rPr>
        <w:lastRenderedPageBreak/>
        <w:t xml:space="preserve"> </w:t>
      </w:r>
    </w:p>
    <w:p w:rsidR="00410213" w:rsidRDefault="00D877C6">
      <w:pPr>
        <w:spacing w:after="1" w:line="357" w:lineRule="auto"/>
        <w:ind w:left="-5" w:right="308" w:hanging="10"/>
      </w:pPr>
      <w:r>
        <w:rPr>
          <w:rFonts w:ascii="Times New Roman" w:eastAsia="Times New Roman" w:hAnsi="Times New Roman" w:cs="Times New Roman"/>
          <w:sz w:val="24"/>
        </w:rPr>
        <w:t xml:space="preserve">UNHCR (2019) </w:t>
      </w:r>
      <w:r>
        <w:rPr>
          <w:rFonts w:ascii="Times New Roman" w:eastAsia="Times New Roman" w:hAnsi="Times New Roman" w:cs="Times New Roman"/>
          <w:i/>
          <w:sz w:val="24"/>
        </w:rPr>
        <w:t>Cameroon UNHCR Buea IDP Response Operational Update: North West and South West Regions (18 - 22 Fe</w:t>
      </w:r>
      <w:r>
        <w:rPr>
          <w:rFonts w:ascii="Times New Roman" w:eastAsia="Times New Roman" w:hAnsi="Times New Roman" w:cs="Times New Roman"/>
          <w:i/>
          <w:sz w:val="24"/>
        </w:rPr>
        <w:t xml:space="preserve">bruary 2019). </w:t>
      </w:r>
      <w:r>
        <w:rPr>
          <w:rFonts w:ascii="Times New Roman" w:eastAsia="Times New Roman" w:hAnsi="Times New Roman" w:cs="Times New Roman"/>
          <w:sz w:val="24"/>
        </w:rPr>
        <w:t xml:space="preserve">Available at; </w:t>
      </w:r>
      <w:hyperlink r:id="rId74">
        <w:r>
          <w:rPr>
            <w:rFonts w:ascii="Times New Roman" w:eastAsia="Times New Roman" w:hAnsi="Times New Roman" w:cs="Times New Roman"/>
            <w:color w:val="0563C1"/>
            <w:sz w:val="24"/>
            <w:u w:val="single" w:color="0563C1"/>
          </w:rPr>
          <w:t>https://reliefweb.int/report/cameroon/cameroon</w:t>
        </w:r>
      </w:hyperlink>
      <w:hyperlink r:id="rId75">
        <w:r>
          <w:rPr>
            <w:rFonts w:ascii="Times New Roman" w:eastAsia="Times New Roman" w:hAnsi="Times New Roman" w:cs="Times New Roman"/>
            <w:color w:val="0563C1"/>
            <w:sz w:val="24"/>
            <w:u w:val="single" w:color="0563C1"/>
          </w:rPr>
          <w:t>-</w:t>
        </w:r>
      </w:hyperlink>
      <w:hyperlink r:id="rId76">
        <w:r>
          <w:rPr>
            <w:rFonts w:ascii="Times New Roman" w:eastAsia="Times New Roman" w:hAnsi="Times New Roman" w:cs="Times New Roman"/>
            <w:color w:val="0563C1"/>
            <w:sz w:val="24"/>
            <w:u w:val="single" w:color="0563C1"/>
          </w:rPr>
          <w:t>unhcr</w:t>
        </w:r>
      </w:hyperlink>
      <w:hyperlink r:id="rId77">
        <w:r>
          <w:rPr>
            <w:rFonts w:ascii="Times New Roman" w:eastAsia="Times New Roman" w:hAnsi="Times New Roman" w:cs="Times New Roman"/>
            <w:color w:val="0563C1"/>
            <w:sz w:val="24"/>
            <w:u w:val="single" w:color="0563C1"/>
          </w:rPr>
          <w:t>-</w:t>
        </w:r>
      </w:hyperlink>
      <w:hyperlink r:id="rId78">
        <w:r>
          <w:rPr>
            <w:rFonts w:ascii="Times New Roman" w:eastAsia="Times New Roman" w:hAnsi="Times New Roman" w:cs="Times New Roman"/>
            <w:color w:val="0563C1"/>
            <w:sz w:val="24"/>
            <w:u w:val="single" w:color="0563C1"/>
          </w:rPr>
          <w:t>buea</w:t>
        </w:r>
      </w:hyperlink>
      <w:hyperlink r:id="rId79">
        <w:r>
          <w:rPr>
            <w:rFonts w:ascii="Times New Roman" w:eastAsia="Times New Roman" w:hAnsi="Times New Roman" w:cs="Times New Roman"/>
            <w:color w:val="0563C1"/>
            <w:sz w:val="24"/>
            <w:u w:val="single" w:color="0563C1"/>
          </w:rPr>
          <w:t>-</w:t>
        </w:r>
      </w:hyperlink>
      <w:hyperlink r:id="rId80">
        <w:r>
          <w:rPr>
            <w:rFonts w:ascii="Times New Roman" w:eastAsia="Times New Roman" w:hAnsi="Times New Roman" w:cs="Times New Roman"/>
            <w:color w:val="0563C1"/>
            <w:sz w:val="24"/>
            <w:u w:val="single" w:color="0563C1"/>
          </w:rPr>
          <w:t>idp</w:t>
        </w:r>
      </w:hyperlink>
      <w:hyperlink r:id="rId81">
        <w:r>
          <w:rPr>
            <w:rFonts w:ascii="Times New Roman" w:eastAsia="Times New Roman" w:hAnsi="Times New Roman" w:cs="Times New Roman"/>
            <w:color w:val="0563C1"/>
            <w:sz w:val="24"/>
            <w:u w:val="single" w:color="0563C1"/>
          </w:rPr>
          <w:t>-</w:t>
        </w:r>
      </w:hyperlink>
      <w:hyperlink r:id="rId82">
        <w:r>
          <w:rPr>
            <w:rFonts w:ascii="Times New Roman" w:eastAsia="Times New Roman" w:hAnsi="Times New Roman" w:cs="Times New Roman"/>
            <w:color w:val="0563C1"/>
            <w:sz w:val="24"/>
            <w:u w:val="single" w:color="0563C1"/>
          </w:rPr>
          <w:t>response</w:t>
        </w:r>
      </w:hyperlink>
      <w:hyperlink r:id="rId83">
        <w:r>
          <w:rPr>
            <w:rFonts w:ascii="Times New Roman" w:eastAsia="Times New Roman" w:hAnsi="Times New Roman" w:cs="Times New Roman"/>
            <w:color w:val="0563C1"/>
            <w:sz w:val="24"/>
            <w:u w:val="single" w:color="0563C1"/>
          </w:rPr>
          <w:t>-</w:t>
        </w:r>
      </w:hyperlink>
      <w:hyperlink r:id="rId84">
        <w:r>
          <w:rPr>
            <w:rFonts w:ascii="Times New Roman" w:eastAsia="Times New Roman" w:hAnsi="Times New Roman" w:cs="Times New Roman"/>
            <w:color w:val="0563C1"/>
            <w:sz w:val="24"/>
            <w:u w:val="single" w:color="0563C1"/>
          </w:rPr>
          <w:t>operational</w:t>
        </w:r>
      </w:hyperlink>
      <w:hyperlink r:id="rId85">
        <w:r>
          <w:rPr>
            <w:rFonts w:ascii="Times New Roman" w:eastAsia="Times New Roman" w:hAnsi="Times New Roman" w:cs="Times New Roman"/>
            <w:color w:val="0563C1"/>
            <w:sz w:val="24"/>
            <w:u w:val="single" w:color="0563C1"/>
          </w:rPr>
          <w:t>-</w:t>
        </w:r>
      </w:hyperlink>
      <w:hyperlink r:id="rId86">
        <w:r>
          <w:rPr>
            <w:rFonts w:ascii="Times New Roman" w:eastAsia="Times New Roman" w:hAnsi="Times New Roman" w:cs="Times New Roman"/>
            <w:color w:val="0563C1"/>
            <w:sz w:val="24"/>
            <w:u w:val="single" w:color="0563C1"/>
          </w:rPr>
          <w:t>update</w:t>
        </w:r>
      </w:hyperlink>
      <w:hyperlink r:id="rId87"/>
      <w:hyperlink r:id="rId88">
        <w:r>
          <w:rPr>
            <w:rFonts w:ascii="Times New Roman" w:eastAsia="Times New Roman" w:hAnsi="Times New Roman" w:cs="Times New Roman"/>
            <w:color w:val="0563C1"/>
            <w:sz w:val="24"/>
            <w:u w:val="single" w:color="0563C1"/>
          </w:rPr>
          <w:t>north</w:t>
        </w:r>
      </w:hyperlink>
      <w:hyperlink r:id="rId89">
        <w:r>
          <w:rPr>
            <w:rFonts w:ascii="Times New Roman" w:eastAsia="Times New Roman" w:hAnsi="Times New Roman" w:cs="Times New Roman"/>
            <w:color w:val="0563C1"/>
            <w:sz w:val="24"/>
            <w:u w:val="single" w:color="0563C1"/>
          </w:rPr>
          <w:t>-</w:t>
        </w:r>
      </w:hyperlink>
      <w:hyperlink r:id="rId90">
        <w:r>
          <w:rPr>
            <w:rFonts w:ascii="Times New Roman" w:eastAsia="Times New Roman" w:hAnsi="Times New Roman" w:cs="Times New Roman"/>
            <w:color w:val="0563C1"/>
            <w:sz w:val="24"/>
            <w:u w:val="single" w:color="0563C1"/>
          </w:rPr>
          <w:t>west</w:t>
        </w:r>
      </w:hyperlink>
      <w:hyperlink r:id="rId91">
        <w:r>
          <w:rPr>
            <w:rFonts w:ascii="Times New Roman" w:eastAsia="Times New Roman" w:hAnsi="Times New Roman" w:cs="Times New Roman"/>
            <w:color w:val="0563C1"/>
            <w:sz w:val="24"/>
            <w:u w:val="single" w:color="0563C1"/>
          </w:rPr>
          <w:t>-</w:t>
        </w:r>
      </w:hyperlink>
      <w:hyperlink r:id="rId92">
        <w:r>
          <w:rPr>
            <w:rFonts w:ascii="Times New Roman" w:eastAsia="Times New Roman" w:hAnsi="Times New Roman" w:cs="Times New Roman"/>
            <w:color w:val="0563C1"/>
            <w:sz w:val="24"/>
            <w:u w:val="single" w:color="0563C1"/>
          </w:rPr>
          <w:t>and</w:t>
        </w:r>
      </w:hyperlink>
      <w:hyperlink r:id="rId93">
        <w:r>
          <w:rPr>
            <w:rFonts w:ascii="Times New Roman" w:eastAsia="Times New Roman" w:hAnsi="Times New Roman" w:cs="Times New Roman"/>
            <w:color w:val="0563C1"/>
            <w:sz w:val="24"/>
            <w:u w:val="single" w:color="0563C1"/>
          </w:rPr>
          <w:t>-</w:t>
        </w:r>
      </w:hyperlink>
      <w:hyperlink r:id="rId94">
        <w:r>
          <w:rPr>
            <w:rFonts w:ascii="Times New Roman" w:eastAsia="Times New Roman" w:hAnsi="Times New Roman" w:cs="Times New Roman"/>
            <w:color w:val="0563C1"/>
            <w:sz w:val="24"/>
            <w:u w:val="single" w:color="0563C1"/>
          </w:rPr>
          <w:t>south</w:t>
        </w:r>
      </w:hyperlink>
      <w:hyperlink r:id="rId95">
        <w:r>
          <w:rPr>
            <w:rFonts w:ascii="Times New Roman" w:eastAsia="Times New Roman" w:hAnsi="Times New Roman" w:cs="Times New Roman"/>
            <w:color w:val="0563C1"/>
            <w:sz w:val="24"/>
            <w:u w:val="single" w:color="0563C1"/>
          </w:rPr>
          <w:t>-</w:t>
        </w:r>
      </w:hyperlink>
      <w:hyperlink r:id="rId96">
        <w:r>
          <w:rPr>
            <w:rFonts w:ascii="Times New Roman" w:eastAsia="Times New Roman" w:hAnsi="Times New Roman" w:cs="Times New Roman"/>
            <w:color w:val="0563C1"/>
            <w:sz w:val="24"/>
            <w:u w:val="single" w:color="0563C1"/>
          </w:rPr>
          <w:t>west</w:t>
        </w:r>
      </w:hyperlink>
      <w:hyperlink r:id="rId97">
        <w:r>
          <w:rPr>
            <w:rFonts w:ascii="Times New Roman" w:eastAsia="Times New Roman" w:hAnsi="Times New Roman" w:cs="Times New Roman"/>
            <w:color w:val="0563C1"/>
            <w:sz w:val="24"/>
            <w:u w:val="single" w:color="0563C1"/>
          </w:rPr>
          <w:t>-</w:t>
        </w:r>
      </w:hyperlink>
      <w:hyperlink r:id="rId98">
        <w:r>
          <w:rPr>
            <w:rFonts w:ascii="Times New Roman" w:eastAsia="Times New Roman" w:hAnsi="Times New Roman" w:cs="Times New Roman"/>
            <w:color w:val="0563C1"/>
            <w:sz w:val="24"/>
            <w:u w:val="single" w:color="0563C1"/>
          </w:rPr>
          <w:t>10</w:t>
        </w:r>
      </w:hyperlink>
      <w:hyperlink r:id="rId9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08 March 2023).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 w:line="357" w:lineRule="auto"/>
        <w:ind w:left="-5" w:right="308" w:hanging="10"/>
      </w:pPr>
      <w:r>
        <w:rPr>
          <w:rFonts w:ascii="Times New Roman" w:eastAsia="Times New Roman" w:hAnsi="Times New Roman" w:cs="Times New Roman"/>
          <w:sz w:val="24"/>
        </w:rPr>
        <w:t xml:space="preserve">UNOCHA (2019) </w:t>
      </w:r>
      <w:r>
        <w:rPr>
          <w:rFonts w:ascii="Times New Roman" w:eastAsia="Times New Roman" w:hAnsi="Times New Roman" w:cs="Times New Roman"/>
          <w:i/>
          <w:sz w:val="24"/>
        </w:rPr>
        <w:t xml:space="preserve">Cameroon: South West Region GBV Rapid assessment. </w:t>
      </w:r>
      <w:r>
        <w:rPr>
          <w:rFonts w:ascii="Times New Roman" w:eastAsia="Times New Roman" w:hAnsi="Times New Roman" w:cs="Times New Roman"/>
          <w:sz w:val="24"/>
        </w:rPr>
        <w:t xml:space="preserve">Available at </w:t>
      </w:r>
      <w:hyperlink r:id="rId100">
        <w:r>
          <w:rPr>
            <w:rFonts w:ascii="Times New Roman" w:eastAsia="Times New Roman" w:hAnsi="Times New Roman" w:cs="Times New Roman"/>
            <w:color w:val="0563C1"/>
            <w:sz w:val="24"/>
            <w:u w:val="single" w:color="0563C1"/>
          </w:rPr>
          <w:t>https://www.humanitarianresponse.info/en/operations/cameroon/document/cameroon</w:t>
        </w:r>
      </w:hyperlink>
      <w:hyperlink r:id="rId101">
        <w:r>
          <w:rPr>
            <w:rFonts w:ascii="Times New Roman" w:eastAsia="Times New Roman" w:hAnsi="Times New Roman" w:cs="Times New Roman"/>
            <w:color w:val="0563C1"/>
            <w:sz w:val="24"/>
            <w:u w:val="single" w:color="0563C1"/>
          </w:rPr>
          <w:t>-</w:t>
        </w:r>
      </w:hyperlink>
      <w:hyperlink r:id="rId102">
        <w:r>
          <w:rPr>
            <w:rFonts w:ascii="Times New Roman" w:eastAsia="Times New Roman" w:hAnsi="Times New Roman" w:cs="Times New Roman"/>
            <w:color w:val="0563C1"/>
            <w:sz w:val="24"/>
            <w:u w:val="single" w:color="0563C1"/>
          </w:rPr>
          <w:t>south</w:t>
        </w:r>
      </w:hyperlink>
      <w:hyperlink r:id="rId103">
        <w:r>
          <w:rPr>
            <w:rFonts w:ascii="Times New Roman" w:eastAsia="Times New Roman" w:hAnsi="Times New Roman" w:cs="Times New Roman"/>
            <w:color w:val="0563C1"/>
            <w:sz w:val="24"/>
            <w:u w:val="single" w:color="0563C1"/>
          </w:rPr>
          <w:t>-</w:t>
        </w:r>
      </w:hyperlink>
      <w:hyperlink r:id="rId104">
        <w:r>
          <w:rPr>
            <w:rFonts w:ascii="Times New Roman" w:eastAsia="Times New Roman" w:hAnsi="Times New Roman" w:cs="Times New Roman"/>
            <w:color w:val="0563C1"/>
            <w:sz w:val="24"/>
            <w:u w:val="single" w:color="0563C1"/>
          </w:rPr>
          <w:t>west</w:t>
        </w:r>
      </w:hyperlink>
      <w:hyperlink r:id="rId105"/>
      <w:hyperlink r:id="rId106">
        <w:r>
          <w:rPr>
            <w:rFonts w:ascii="Times New Roman" w:eastAsia="Times New Roman" w:hAnsi="Times New Roman" w:cs="Times New Roman"/>
            <w:color w:val="0563C1"/>
            <w:sz w:val="24"/>
            <w:u w:val="single" w:color="0563C1"/>
          </w:rPr>
          <w:t>region</w:t>
        </w:r>
      </w:hyperlink>
      <w:hyperlink r:id="rId107">
        <w:r>
          <w:rPr>
            <w:rFonts w:ascii="Times New Roman" w:eastAsia="Times New Roman" w:hAnsi="Times New Roman" w:cs="Times New Roman"/>
            <w:color w:val="0563C1"/>
            <w:sz w:val="24"/>
            <w:u w:val="single" w:color="0563C1"/>
          </w:rPr>
          <w:t>-</w:t>
        </w:r>
      </w:hyperlink>
      <w:hyperlink r:id="rId108">
        <w:r>
          <w:rPr>
            <w:rFonts w:ascii="Times New Roman" w:eastAsia="Times New Roman" w:hAnsi="Times New Roman" w:cs="Times New Roman"/>
            <w:color w:val="0563C1"/>
            <w:sz w:val="24"/>
            <w:u w:val="single" w:color="0563C1"/>
          </w:rPr>
          <w:t>gbv</w:t>
        </w:r>
      </w:hyperlink>
      <w:hyperlink r:id="rId109">
        <w:r>
          <w:rPr>
            <w:rFonts w:ascii="Times New Roman" w:eastAsia="Times New Roman" w:hAnsi="Times New Roman" w:cs="Times New Roman"/>
            <w:color w:val="0563C1"/>
            <w:sz w:val="24"/>
            <w:u w:val="single" w:color="0563C1"/>
          </w:rPr>
          <w:t>-</w:t>
        </w:r>
      </w:hyperlink>
      <w:hyperlink r:id="rId110">
        <w:r>
          <w:rPr>
            <w:rFonts w:ascii="Times New Roman" w:eastAsia="Times New Roman" w:hAnsi="Times New Roman" w:cs="Times New Roman"/>
            <w:color w:val="0563C1"/>
            <w:sz w:val="24"/>
            <w:u w:val="single" w:color="0563C1"/>
          </w:rPr>
          <w:t>rapid</w:t>
        </w:r>
      </w:hyperlink>
      <w:hyperlink r:id="rId111">
        <w:r>
          <w:rPr>
            <w:rFonts w:ascii="Times New Roman" w:eastAsia="Times New Roman" w:hAnsi="Times New Roman" w:cs="Times New Roman"/>
            <w:color w:val="0563C1"/>
            <w:sz w:val="24"/>
            <w:u w:val="single" w:color="0563C1"/>
          </w:rPr>
          <w:t>-</w:t>
        </w:r>
      </w:hyperlink>
      <w:hyperlink r:id="rId112">
        <w:r>
          <w:rPr>
            <w:rFonts w:ascii="Times New Roman" w:eastAsia="Times New Roman" w:hAnsi="Times New Roman" w:cs="Times New Roman"/>
            <w:color w:val="0563C1"/>
            <w:sz w:val="24"/>
            <w:u w:val="single" w:color="0563C1"/>
          </w:rPr>
          <w:t>assessment</w:t>
        </w:r>
      </w:hyperlink>
      <w:hyperlink r:id="rId113">
        <w:r>
          <w:rPr>
            <w:rFonts w:ascii="Times New Roman" w:eastAsia="Times New Roman" w:hAnsi="Times New Roman" w:cs="Times New Roman"/>
            <w:color w:val="0563C1"/>
            <w:sz w:val="24"/>
            <w:u w:val="single" w:color="0563C1"/>
          </w:rPr>
          <w:t>-</w:t>
        </w:r>
      </w:hyperlink>
      <w:hyperlink r:id="rId114">
        <w:r>
          <w:rPr>
            <w:rFonts w:ascii="Times New Roman" w:eastAsia="Times New Roman" w:hAnsi="Times New Roman" w:cs="Times New Roman"/>
            <w:color w:val="0563C1"/>
            <w:sz w:val="24"/>
            <w:u w:val="single" w:color="0563C1"/>
          </w:rPr>
          <w:t>%E2%80%93</w:t>
        </w:r>
      </w:hyperlink>
      <w:hyperlink r:id="rId115">
        <w:r>
          <w:rPr>
            <w:rFonts w:ascii="Times New Roman" w:eastAsia="Times New Roman" w:hAnsi="Times New Roman" w:cs="Times New Roman"/>
            <w:color w:val="0563C1"/>
            <w:sz w:val="24"/>
            <w:u w:val="single" w:color="0563C1"/>
          </w:rPr>
          <w:t>-</w:t>
        </w:r>
      </w:hyperlink>
      <w:hyperlink r:id="rId116">
        <w:r>
          <w:rPr>
            <w:rFonts w:ascii="Times New Roman" w:eastAsia="Times New Roman" w:hAnsi="Times New Roman" w:cs="Times New Roman"/>
            <w:color w:val="0563C1"/>
            <w:sz w:val="24"/>
            <w:u w:val="single" w:color="0563C1"/>
          </w:rPr>
          <w:t>key</w:t>
        </w:r>
      </w:hyperlink>
      <w:hyperlink r:id="rId117">
        <w:r>
          <w:rPr>
            <w:rFonts w:ascii="Times New Roman" w:eastAsia="Times New Roman" w:hAnsi="Times New Roman" w:cs="Times New Roman"/>
            <w:color w:val="0563C1"/>
            <w:sz w:val="24"/>
            <w:u w:val="single" w:color="0563C1"/>
          </w:rPr>
          <w:t>-</w:t>
        </w:r>
      </w:hyperlink>
      <w:hyperlink r:id="rId118">
        <w:r>
          <w:rPr>
            <w:rFonts w:ascii="Times New Roman" w:eastAsia="Times New Roman" w:hAnsi="Times New Roman" w:cs="Times New Roman"/>
            <w:color w:val="0563C1"/>
            <w:sz w:val="24"/>
            <w:u w:val="single" w:color="0563C1"/>
          </w:rPr>
          <w:t>finding</w:t>
        </w:r>
        <w:r>
          <w:rPr>
            <w:rFonts w:ascii="Times New Roman" w:eastAsia="Times New Roman" w:hAnsi="Times New Roman" w:cs="Times New Roman"/>
            <w:color w:val="0563C1"/>
            <w:sz w:val="24"/>
            <w:u w:val="single" w:color="0563C1"/>
          </w:rPr>
          <w:t>s</w:t>
        </w:r>
      </w:hyperlink>
      <w:hyperlink r:id="rId119">
        <w:r>
          <w:rPr>
            <w:rFonts w:ascii="Times New Roman" w:eastAsia="Times New Roman" w:hAnsi="Times New Roman" w:cs="Times New Roman"/>
            <w:color w:val="0563C1"/>
            <w:sz w:val="24"/>
            <w:u w:val="single" w:color="0563C1"/>
          </w:rPr>
          <w:t>-</w:t>
        </w:r>
      </w:hyperlink>
      <w:hyperlink r:id="rId120">
        <w:r>
          <w:rPr>
            <w:rFonts w:ascii="Times New Roman" w:eastAsia="Times New Roman" w:hAnsi="Times New Roman" w:cs="Times New Roman"/>
            <w:color w:val="0563C1"/>
            <w:sz w:val="24"/>
            <w:u w:val="single" w:color="0563C1"/>
          </w:rPr>
          <w:t>january</w:t>
        </w:r>
      </w:hyperlink>
      <w:hyperlink r:id="rId12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10 February 2023).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 w:line="357" w:lineRule="auto"/>
        <w:ind w:left="-5" w:right="308" w:hanging="10"/>
      </w:pPr>
      <w:r>
        <w:rPr>
          <w:rFonts w:ascii="Times New Roman" w:eastAsia="Times New Roman" w:hAnsi="Times New Roman" w:cs="Times New Roman"/>
          <w:sz w:val="24"/>
        </w:rPr>
        <w:t xml:space="preserve">UNOCHA (2020) </w:t>
      </w:r>
      <w:r>
        <w:rPr>
          <w:rFonts w:ascii="Times New Roman" w:eastAsia="Times New Roman" w:hAnsi="Times New Roman" w:cs="Times New Roman"/>
          <w:i/>
          <w:sz w:val="24"/>
        </w:rPr>
        <w:t>Cameroon: Humanitarian snapshot in North West and South West Regions.</w:t>
      </w:r>
      <w:r>
        <w:rPr>
          <w:rFonts w:ascii="Times New Roman" w:eastAsia="Times New Roman" w:hAnsi="Times New Roman" w:cs="Times New Roman"/>
          <w:sz w:val="24"/>
        </w:rPr>
        <w:t xml:space="preserve"> Available at; </w:t>
      </w:r>
      <w:hyperlink r:id="rId122">
        <w:r>
          <w:rPr>
            <w:rFonts w:ascii="Times New Roman" w:eastAsia="Times New Roman" w:hAnsi="Times New Roman" w:cs="Times New Roman"/>
            <w:color w:val="0563C1"/>
            <w:sz w:val="24"/>
            <w:u w:val="single" w:color="0563C1"/>
          </w:rPr>
          <w:t>https://reliefweb.int/report/cameroon/cameroon</w:t>
        </w:r>
      </w:hyperlink>
      <w:hyperlink r:id="rId123">
        <w:r>
          <w:rPr>
            <w:rFonts w:ascii="Times New Roman" w:eastAsia="Times New Roman" w:hAnsi="Times New Roman" w:cs="Times New Roman"/>
            <w:color w:val="0563C1"/>
            <w:sz w:val="24"/>
            <w:u w:val="single" w:color="0563C1"/>
          </w:rPr>
          <w:t>-</w:t>
        </w:r>
      </w:hyperlink>
      <w:hyperlink r:id="rId124">
        <w:r>
          <w:rPr>
            <w:rFonts w:ascii="Times New Roman" w:eastAsia="Times New Roman" w:hAnsi="Times New Roman" w:cs="Times New Roman"/>
            <w:color w:val="0563C1"/>
            <w:sz w:val="24"/>
            <w:u w:val="single" w:color="0563C1"/>
          </w:rPr>
          <w:t>humanitarian</w:t>
        </w:r>
      </w:hyperlink>
      <w:hyperlink r:id="rId125">
        <w:r>
          <w:rPr>
            <w:rFonts w:ascii="Times New Roman" w:eastAsia="Times New Roman" w:hAnsi="Times New Roman" w:cs="Times New Roman"/>
            <w:color w:val="0563C1"/>
            <w:sz w:val="24"/>
            <w:u w:val="single" w:color="0563C1"/>
          </w:rPr>
          <w:t>-</w:t>
        </w:r>
      </w:hyperlink>
      <w:hyperlink r:id="rId126">
        <w:r>
          <w:rPr>
            <w:rFonts w:ascii="Times New Roman" w:eastAsia="Times New Roman" w:hAnsi="Times New Roman" w:cs="Times New Roman"/>
            <w:color w:val="0563C1"/>
            <w:sz w:val="24"/>
            <w:u w:val="single" w:color="0563C1"/>
          </w:rPr>
          <w:t>snapshot</w:t>
        </w:r>
      </w:hyperlink>
      <w:hyperlink r:id="rId127">
        <w:r>
          <w:rPr>
            <w:rFonts w:ascii="Times New Roman" w:eastAsia="Times New Roman" w:hAnsi="Times New Roman" w:cs="Times New Roman"/>
            <w:color w:val="0563C1"/>
            <w:sz w:val="24"/>
            <w:u w:val="single" w:color="0563C1"/>
          </w:rPr>
          <w:t>-</w:t>
        </w:r>
      </w:hyperlink>
      <w:hyperlink r:id="rId128">
        <w:r>
          <w:rPr>
            <w:rFonts w:ascii="Times New Roman" w:eastAsia="Times New Roman" w:hAnsi="Times New Roman" w:cs="Times New Roman"/>
            <w:color w:val="0563C1"/>
            <w:sz w:val="24"/>
            <w:u w:val="single" w:color="0563C1"/>
          </w:rPr>
          <w:t>north</w:t>
        </w:r>
      </w:hyperlink>
      <w:hyperlink r:id="rId129">
        <w:r>
          <w:rPr>
            <w:rFonts w:ascii="Times New Roman" w:eastAsia="Times New Roman" w:hAnsi="Times New Roman" w:cs="Times New Roman"/>
            <w:color w:val="0563C1"/>
            <w:sz w:val="24"/>
            <w:u w:val="single" w:color="0563C1"/>
          </w:rPr>
          <w:t>-</w:t>
        </w:r>
      </w:hyperlink>
      <w:hyperlink r:id="rId130">
        <w:r>
          <w:rPr>
            <w:rFonts w:ascii="Times New Roman" w:eastAsia="Times New Roman" w:hAnsi="Times New Roman" w:cs="Times New Roman"/>
            <w:color w:val="0563C1"/>
            <w:sz w:val="24"/>
            <w:u w:val="single" w:color="0563C1"/>
          </w:rPr>
          <w:t>west</w:t>
        </w:r>
      </w:hyperlink>
      <w:hyperlink r:id="rId131"/>
      <w:hyperlink r:id="rId132">
        <w:r>
          <w:rPr>
            <w:rFonts w:ascii="Times New Roman" w:eastAsia="Times New Roman" w:hAnsi="Times New Roman" w:cs="Times New Roman"/>
            <w:color w:val="0563C1"/>
            <w:sz w:val="24"/>
            <w:u w:val="single" w:color="0563C1"/>
          </w:rPr>
          <w:t>and</w:t>
        </w:r>
      </w:hyperlink>
      <w:hyperlink r:id="rId133">
        <w:r>
          <w:rPr>
            <w:rFonts w:ascii="Times New Roman" w:eastAsia="Times New Roman" w:hAnsi="Times New Roman" w:cs="Times New Roman"/>
            <w:color w:val="0563C1"/>
            <w:sz w:val="24"/>
            <w:u w:val="single" w:color="0563C1"/>
          </w:rPr>
          <w:t>-</w:t>
        </w:r>
      </w:hyperlink>
      <w:hyperlink r:id="rId134">
        <w:r>
          <w:rPr>
            <w:rFonts w:ascii="Times New Roman" w:eastAsia="Times New Roman" w:hAnsi="Times New Roman" w:cs="Times New Roman"/>
            <w:color w:val="0563C1"/>
            <w:sz w:val="24"/>
            <w:u w:val="single" w:color="0563C1"/>
          </w:rPr>
          <w:t>south</w:t>
        </w:r>
      </w:hyperlink>
      <w:hyperlink r:id="rId135">
        <w:r>
          <w:rPr>
            <w:rFonts w:ascii="Times New Roman" w:eastAsia="Times New Roman" w:hAnsi="Times New Roman" w:cs="Times New Roman"/>
            <w:color w:val="0563C1"/>
            <w:sz w:val="24"/>
            <w:u w:val="single" w:color="0563C1"/>
          </w:rPr>
          <w:t>-</w:t>
        </w:r>
      </w:hyperlink>
      <w:hyperlink r:id="rId136">
        <w:r>
          <w:rPr>
            <w:rFonts w:ascii="Times New Roman" w:eastAsia="Times New Roman" w:hAnsi="Times New Roman" w:cs="Times New Roman"/>
            <w:color w:val="0563C1"/>
            <w:sz w:val="24"/>
            <w:u w:val="single" w:color="0563C1"/>
          </w:rPr>
          <w:t>west</w:t>
        </w:r>
      </w:hyperlink>
      <w:hyperlink r:id="rId137">
        <w:r>
          <w:rPr>
            <w:rFonts w:ascii="Times New Roman" w:eastAsia="Times New Roman" w:hAnsi="Times New Roman" w:cs="Times New Roman"/>
            <w:color w:val="0563C1"/>
            <w:sz w:val="24"/>
            <w:u w:val="single" w:color="0563C1"/>
          </w:rPr>
          <w:t>-</w:t>
        </w:r>
      </w:hyperlink>
      <w:hyperlink r:id="rId138">
        <w:r>
          <w:rPr>
            <w:rFonts w:ascii="Times New Roman" w:eastAsia="Times New Roman" w:hAnsi="Times New Roman" w:cs="Times New Roman"/>
            <w:color w:val="0563C1"/>
            <w:sz w:val="24"/>
            <w:u w:val="single" w:color="0563C1"/>
          </w:rPr>
          <w:t>regions</w:t>
        </w:r>
      </w:hyperlink>
      <w:hyperlink r:id="rId139">
        <w:r>
          <w:rPr>
            <w:rFonts w:ascii="Times New Roman" w:eastAsia="Times New Roman" w:hAnsi="Times New Roman" w:cs="Times New Roman"/>
            <w:color w:val="0563C1"/>
            <w:sz w:val="24"/>
            <w:u w:val="single" w:color="0563C1"/>
          </w:rPr>
          <w:t>-</w:t>
        </w:r>
      </w:hyperlink>
      <w:hyperlink r:id="rId140">
        <w:r>
          <w:rPr>
            <w:rFonts w:ascii="Times New Roman" w:eastAsia="Times New Roman" w:hAnsi="Times New Roman" w:cs="Times New Roman"/>
            <w:color w:val="0563C1"/>
            <w:sz w:val="24"/>
            <w:u w:val="single" w:color="0563C1"/>
          </w:rPr>
          <w:t>april</w:t>
        </w:r>
      </w:hyperlink>
      <w:hyperlink r:id="rId141">
        <w:r>
          <w:rPr>
            <w:rFonts w:ascii="Times New Roman" w:eastAsia="Times New Roman" w:hAnsi="Times New Roman" w:cs="Times New Roman"/>
            <w:color w:val="0563C1"/>
            <w:sz w:val="24"/>
            <w:u w:val="single" w:color="0563C1"/>
          </w:rPr>
          <w:t>-</w:t>
        </w:r>
      </w:hyperlink>
      <w:hyperlink r:id="rId142">
        <w:r>
          <w:rPr>
            <w:rFonts w:ascii="Times New Roman" w:eastAsia="Times New Roman" w:hAnsi="Times New Roman" w:cs="Times New Roman"/>
            <w:color w:val="0563C1"/>
            <w:sz w:val="24"/>
            <w:u w:val="single" w:color="0563C1"/>
          </w:rPr>
          <w:t>2020</w:t>
        </w:r>
      </w:hyperlink>
      <w:hyperlink r:id="rId143">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08 March 2023).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 w:line="357" w:lineRule="auto"/>
        <w:ind w:left="-5" w:right="308" w:hanging="10"/>
      </w:pPr>
      <w:r>
        <w:rPr>
          <w:rFonts w:ascii="Times New Roman" w:eastAsia="Times New Roman" w:hAnsi="Times New Roman" w:cs="Times New Roman"/>
          <w:sz w:val="24"/>
        </w:rPr>
        <w:t xml:space="preserve">UNOCHA (2021) </w:t>
      </w:r>
      <w:r>
        <w:rPr>
          <w:rFonts w:ascii="Times New Roman" w:eastAsia="Times New Roman" w:hAnsi="Times New Roman" w:cs="Times New Roman"/>
          <w:i/>
          <w:sz w:val="24"/>
        </w:rPr>
        <w:t>Cameroon Humanitarian Bulletin Issue N°27-November 2021.</w:t>
      </w:r>
      <w:r>
        <w:rPr>
          <w:rFonts w:ascii="Times New Roman" w:eastAsia="Times New Roman" w:hAnsi="Times New Roman" w:cs="Times New Roman"/>
          <w:sz w:val="24"/>
        </w:rPr>
        <w:t xml:space="preserve"> Availa</w:t>
      </w:r>
      <w:r>
        <w:rPr>
          <w:rFonts w:ascii="Times New Roman" w:eastAsia="Times New Roman" w:hAnsi="Times New Roman" w:cs="Times New Roman"/>
          <w:sz w:val="24"/>
        </w:rPr>
        <w:t xml:space="preserve">ble at; </w:t>
      </w:r>
      <w:hyperlink r:id="rId144">
        <w:r>
          <w:rPr>
            <w:rFonts w:ascii="Times New Roman" w:eastAsia="Times New Roman" w:hAnsi="Times New Roman" w:cs="Times New Roman"/>
            <w:color w:val="0563C1"/>
            <w:sz w:val="24"/>
            <w:u w:val="single" w:color="0563C1"/>
          </w:rPr>
          <w:t>https://reliefweb.int/report/cameroon/cameroon</w:t>
        </w:r>
      </w:hyperlink>
      <w:hyperlink r:id="rId145">
        <w:r>
          <w:rPr>
            <w:rFonts w:ascii="Times New Roman" w:eastAsia="Times New Roman" w:hAnsi="Times New Roman" w:cs="Times New Roman"/>
            <w:color w:val="0563C1"/>
            <w:sz w:val="24"/>
            <w:u w:val="single" w:color="0563C1"/>
          </w:rPr>
          <w:t>-</w:t>
        </w:r>
      </w:hyperlink>
      <w:hyperlink r:id="rId146">
        <w:r>
          <w:rPr>
            <w:rFonts w:ascii="Times New Roman" w:eastAsia="Times New Roman" w:hAnsi="Times New Roman" w:cs="Times New Roman"/>
            <w:color w:val="0563C1"/>
            <w:sz w:val="24"/>
            <w:u w:val="single" w:color="0563C1"/>
          </w:rPr>
          <w:t>humanitarian</w:t>
        </w:r>
      </w:hyperlink>
      <w:hyperlink r:id="rId147">
        <w:r>
          <w:rPr>
            <w:rFonts w:ascii="Times New Roman" w:eastAsia="Times New Roman" w:hAnsi="Times New Roman" w:cs="Times New Roman"/>
            <w:color w:val="0563C1"/>
            <w:sz w:val="24"/>
            <w:u w:val="single" w:color="0563C1"/>
          </w:rPr>
          <w:t>-</w:t>
        </w:r>
      </w:hyperlink>
      <w:hyperlink r:id="rId148">
        <w:r>
          <w:rPr>
            <w:rFonts w:ascii="Times New Roman" w:eastAsia="Times New Roman" w:hAnsi="Times New Roman" w:cs="Times New Roman"/>
            <w:color w:val="0563C1"/>
            <w:sz w:val="24"/>
            <w:u w:val="single" w:color="0563C1"/>
          </w:rPr>
          <w:t>bulletin</w:t>
        </w:r>
      </w:hyperlink>
      <w:hyperlink r:id="rId149">
        <w:r>
          <w:rPr>
            <w:rFonts w:ascii="Times New Roman" w:eastAsia="Times New Roman" w:hAnsi="Times New Roman" w:cs="Times New Roman"/>
            <w:color w:val="0563C1"/>
            <w:sz w:val="24"/>
            <w:u w:val="single" w:color="0563C1"/>
          </w:rPr>
          <w:t>-</w:t>
        </w:r>
      </w:hyperlink>
      <w:hyperlink r:id="rId150">
        <w:r>
          <w:rPr>
            <w:rFonts w:ascii="Times New Roman" w:eastAsia="Times New Roman" w:hAnsi="Times New Roman" w:cs="Times New Roman"/>
            <w:color w:val="0563C1"/>
            <w:sz w:val="24"/>
            <w:u w:val="single" w:color="0563C1"/>
          </w:rPr>
          <w:t>issue</w:t>
        </w:r>
      </w:hyperlink>
      <w:hyperlink r:id="rId151">
        <w:r>
          <w:rPr>
            <w:rFonts w:ascii="Times New Roman" w:eastAsia="Times New Roman" w:hAnsi="Times New Roman" w:cs="Times New Roman"/>
            <w:color w:val="0563C1"/>
            <w:sz w:val="24"/>
            <w:u w:val="single" w:color="0563C1"/>
          </w:rPr>
          <w:t>-</w:t>
        </w:r>
      </w:hyperlink>
      <w:hyperlink r:id="rId152">
        <w:r>
          <w:rPr>
            <w:rFonts w:ascii="Times New Roman" w:eastAsia="Times New Roman" w:hAnsi="Times New Roman" w:cs="Times New Roman"/>
            <w:color w:val="0563C1"/>
            <w:sz w:val="24"/>
            <w:u w:val="single" w:color="0563C1"/>
          </w:rPr>
          <w:t>n</w:t>
        </w:r>
      </w:hyperlink>
      <w:hyperlink r:id="rId153">
        <w:r>
          <w:rPr>
            <w:rFonts w:ascii="Times New Roman" w:eastAsia="Times New Roman" w:hAnsi="Times New Roman" w:cs="Times New Roman"/>
            <w:color w:val="0563C1"/>
            <w:sz w:val="24"/>
            <w:u w:val="single" w:color="0563C1"/>
          </w:rPr>
          <w:t>-</w:t>
        </w:r>
      </w:hyperlink>
      <w:hyperlink r:id="rId154">
        <w:r>
          <w:rPr>
            <w:rFonts w:ascii="Times New Roman" w:eastAsia="Times New Roman" w:hAnsi="Times New Roman" w:cs="Times New Roman"/>
            <w:color w:val="0563C1"/>
            <w:sz w:val="24"/>
            <w:u w:val="single" w:color="0563C1"/>
          </w:rPr>
          <w:t>27</w:t>
        </w:r>
      </w:hyperlink>
      <w:hyperlink r:id="rId155">
        <w:r>
          <w:rPr>
            <w:rFonts w:ascii="Times New Roman" w:eastAsia="Times New Roman" w:hAnsi="Times New Roman" w:cs="Times New Roman"/>
            <w:color w:val="0563C1"/>
            <w:sz w:val="24"/>
            <w:u w:val="single" w:color="0563C1"/>
          </w:rPr>
          <w:t>-</w:t>
        </w:r>
      </w:hyperlink>
      <w:hyperlink r:id="rId156">
        <w:r>
          <w:rPr>
            <w:rFonts w:ascii="Times New Roman" w:eastAsia="Times New Roman" w:hAnsi="Times New Roman" w:cs="Times New Roman"/>
            <w:color w:val="0563C1"/>
            <w:sz w:val="24"/>
            <w:u w:val="single" w:color="0563C1"/>
          </w:rPr>
          <w:t>november</w:t>
        </w:r>
      </w:hyperlink>
      <w:hyperlink r:id="rId157">
        <w:r>
          <w:rPr>
            <w:rFonts w:ascii="Times New Roman" w:eastAsia="Times New Roman" w:hAnsi="Times New Roman" w:cs="Times New Roman"/>
            <w:color w:val="0563C1"/>
            <w:sz w:val="24"/>
            <w:u w:val="single" w:color="0563C1"/>
          </w:rPr>
          <w:t>-</w:t>
        </w:r>
      </w:hyperlink>
      <w:hyperlink r:id="rId158">
        <w:r>
          <w:rPr>
            <w:rFonts w:ascii="Times New Roman" w:eastAsia="Times New Roman" w:hAnsi="Times New Roman" w:cs="Times New Roman"/>
            <w:color w:val="0563C1"/>
            <w:sz w:val="24"/>
            <w:u w:val="single" w:color="0563C1"/>
          </w:rPr>
          <w:t>2021</w:t>
        </w:r>
      </w:hyperlink>
      <w:hyperlink r:id="rId15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  (Accessed: 08 March 2023). </w:t>
      </w:r>
    </w:p>
    <w:p w:rsidR="00410213" w:rsidRDefault="00D877C6">
      <w:pPr>
        <w:spacing w:after="115"/>
      </w:pPr>
      <w:r>
        <w:rPr>
          <w:rFonts w:ascii="Times New Roman" w:eastAsia="Times New Roman" w:hAnsi="Times New Roman" w:cs="Times New Roman"/>
          <w:sz w:val="24"/>
        </w:rPr>
        <w:t xml:space="preserve"> </w:t>
      </w:r>
    </w:p>
    <w:p w:rsidR="00410213" w:rsidRDefault="00D877C6">
      <w:pPr>
        <w:spacing w:after="1" w:line="357" w:lineRule="auto"/>
        <w:ind w:left="-5" w:right="308" w:hanging="10"/>
      </w:pPr>
      <w:r>
        <w:rPr>
          <w:rFonts w:ascii="Times New Roman" w:eastAsia="Times New Roman" w:hAnsi="Times New Roman" w:cs="Times New Roman"/>
          <w:sz w:val="24"/>
        </w:rPr>
        <w:t xml:space="preserve">WHO (2021) </w:t>
      </w:r>
      <w:r>
        <w:rPr>
          <w:rFonts w:ascii="Times New Roman" w:eastAsia="Times New Roman" w:hAnsi="Times New Roman" w:cs="Times New Roman"/>
          <w:i/>
          <w:sz w:val="24"/>
        </w:rPr>
        <w:t>Violence against women</w:t>
      </w:r>
      <w:r>
        <w:rPr>
          <w:rFonts w:ascii="Times New Roman" w:eastAsia="Times New Roman" w:hAnsi="Times New Roman" w:cs="Times New Roman"/>
          <w:sz w:val="24"/>
        </w:rPr>
        <w:t xml:space="preserve">. Available at; </w:t>
      </w:r>
      <w:hyperlink r:id="rId160">
        <w:r>
          <w:rPr>
            <w:rFonts w:ascii="Times New Roman" w:eastAsia="Times New Roman" w:hAnsi="Times New Roman" w:cs="Times New Roman"/>
            <w:color w:val="0563C1"/>
            <w:sz w:val="24"/>
            <w:u w:val="single" w:color="0563C1"/>
          </w:rPr>
          <w:t>https://www.who.int/news</w:t>
        </w:r>
      </w:hyperlink>
      <w:hyperlink r:id="rId161">
        <w:r>
          <w:rPr>
            <w:rFonts w:ascii="Times New Roman" w:eastAsia="Times New Roman" w:hAnsi="Times New Roman" w:cs="Times New Roman"/>
            <w:color w:val="0563C1"/>
            <w:sz w:val="24"/>
            <w:u w:val="single" w:color="0563C1"/>
          </w:rPr>
          <w:t>-</w:t>
        </w:r>
      </w:hyperlink>
      <w:hyperlink r:id="rId162">
        <w:r>
          <w:rPr>
            <w:rFonts w:ascii="Times New Roman" w:eastAsia="Times New Roman" w:hAnsi="Times New Roman" w:cs="Times New Roman"/>
            <w:color w:val="0563C1"/>
            <w:sz w:val="24"/>
            <w:u w:val="single" w:color="0563C1"/>
          </w:rPr>
          <w:t>room/fact</w:t>
        </w:r>
      </w:hyperlink>
      <w:hyperlink r:id="rId163"/>
      <w:hyperlink r:id="rId164">
        <w:r>
          <w:rPr>
            <w:rFonts w:ascii="Times New Roman" w:eastAsia="Times New Roman" w:hAnsi="Times New Roman" w:cs="Times New Roman"/>
            <w:color w:val="0563C1"/>
            <w:sz w:val="24"/>
            <w:u w:val="single" w:color="0563C1"/>
          </w:rPr>
          <w:t>sheets/detail/violence</w:t>
        </w:r>
      </w:hyperlink>
      <w:hyperlink r:id="rId165">
        <w:r>
          <w:rPr>
            <w:rFonts w:ascii="Times New Roman" w:eastAsia="Times New Roman" w:hAnsi="Times New Roman" w:cs="Times New Roman"/>
            <w:color w:val="0563C1"/>
            <w:sz w:val="24"/>
            <w:u w:val="single" w:color="0563C1"/>
          </w:rPr>
          <w:t>-</w:t>
        </w:r>
      </w:hyperlink>
      <w:hyperlink r:id="rId166">
        <w:r>
          <w:rPr>
            <w:rFonts w:ascii="Times New Roman" w:eastAsia="Times New Roman" w:hAnsi="Times New Roman" w:cs="Times New Roman"/>
            <w:color w:val="0563C1"/>
            <w:sz w:val="24"/>
            <w:u w:val="single" w:color="0563C1"/>
          </w:rPr>
          <w:t>against</w:t>
        </w:r>
      </w:hyperlink>
      <w:hyperlink r:id="rId167">
        <w:r>
          <w:rPr>
            <w:rFonts w:ascii="Times New Roman" w:eastAsia="Times New Roman" w:hAnsi="Times New Roman" w:cs="Times New Roman"/>
            <w:color w:val="0563C1"/>
            <w:sz w:val="24"/>
            <w:u w:val="single" w:color="0563C1"/>
          </w:rPr>
          <w:t>-</w:t>
        </w:r>
      </w:hyperlink>
      <w:hyperlink r:id="rId168">
        <w:r>
          <w:rPr>
            <w:rFonts w:ascii="Times New Roman" w:eastAsia="Times New Roman" w:hAnsi="Times New Roman" w:cs="Times New Roman"/>
            <w:color w:val="0563C1"/>
            <w:sz w:val="24"/>
            <w:u w:val="single" w:color="0563C1"/>
          </w:rPr>
          <w:t>women</w:t>
        </w:r>
      </w:hyperlink>
      <w:hyperlink r:id="rId16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08 March 2023). </w:t>
      </w:r>
    </w:p>
    <w:p w:rsidR="00410213" w:rsidRDefault="00D877C6">
      <w:pPr>
        <w:spacing w:after="0"/>
      </w:pPr>
      <w:r>
        <w:rPr>
          <w:rFonts w:ascii="Times New Roman" w:eastAsia="Times New Roman" w:hAnsi="Times New Roman" w:cs="Times New Roman"/>
          <w:sz w:val="24"/>
        </w:rPr>
        <w:t xml:space="preserve"> </w:t>
      </w:r>
    </w:p>
    <w:p w:rsidR="00410213" w:rsidRDefault="00D877C6">
      <w:pPr>
        <w:spacing w:after="242" w:line="357" w:lineRule="auto"/>
        <w:ind w:left="-5" w:right="404" w:hanging="10"/>
        <w:jc w:val="both"/>
      </w:pPr>
      <w:r>
        <w:rPr>
          <w:rFonts w:ascii="Times New Roman" w:eastAsia="Times New Roman" w:hAnsi="Times New Roman" w:cs="Times New Roman"/>
          <w:sz w:val="24"/>
        </w:rPr>
        <w:t xml:space="preserve">WHO (2021) </w:t>
      </w:r>
      <w:r>
        <w:rPr>
          <w:rFonts w:ascii="Times New Roman" w:eastAsia="Times New Roman" w:hAnsi="Times New Roman" w:cs="Times New Roman"/>
          <w:i/>
          <w:sz w:val="24"/>
        </w:rPr>
        <w:t>Violence against Women</w:t>
      </w:r>
      <w:r>
        <w:rPr>
          <w:rFonts w:ascii="Times New Roman" w:eastAsia="Times New Roman" w:hAnsi="Times New Roman" w:cs="Times New Roman"/>
          <w:sz w:val="24"/>
        </w:rPr>
        <w:t>. Available at:</w:t>
      </w:r>
      <w:hyperlink r:id="rId170">
        <w:r>
          <w:rPr>
            <w:rFonts w:ascii="Times New Roman" w:eastAsia="Times New Roman" w:hAnsi="Times New Roman" w:cs="Times New Roman"/>
            <w:sz w:val="24"/>
          </w:rPr>
          <w:t xml:space="preserve"> </w:t>
        </w:r>
      </w:hyperlink>
      <w:hyperlink r:id="rId171">
        <w:r>
          <w:rPr>
            <w:rFonts w:ascii="Times New Roman" w:eastAsia="Times New Roman" w:hAnsi="Times New Roman" w:cs="Times New Roman"/>
            <w:color w:val="0563C1"/>
            <w:sz w:val="24"/>
            <w:u w:val="single" w:color="0563C1"/>
          </w:rPr>
          <w:t>https://www.who.int/news/</w:t>
        </w:r>
        <w:r>
          <w:rPr>
            <w:rFonts w:ascii="Times New Roman" w:eastAsia="Times New Roman" w:hAnsi="Times New Roman" w:cs="Times New Roman"/>
            <w:color w:val="0563C1"/>
            <w:sz w:val="24"/>
            <w:u w:val="single" w:color="0563C1"/>
          </w:rPr>
          <w:t>item/09</w:t>
        </w:r>
      </w:hyperlink>
      <w:hyperlink r:id="rId172">
        <w:r>
          <w:rPr>
            <w:rFonts w:ascii="Times New Roman" w:eastAsia="Times New Roman" w:hAnsi="Times New Roman" w:cs="Times New Roman"/>
            <w:color w:val="0563C1"/>
            <w:sz w:val="24"/>
            <w:u w:val="single" w:color="0563C1"/>
          </w:rPr>
          <w:t>-</w:t>
        </w:r>
      </w:hyperlink>
      <w:hyperlink r:id="rId173">
        <w:r>
          <w:rPr>
            <w:rFonts w:ascii="Times New Roman" w:eastAsia="Times New Roman" w:hAnsi="Times New Roman" w:cs="Times New Roman"/>
            <w:color w:val="0563C1"/>
            <w:sz w:val="24"/>
            <w:u w:val="single" w:color="0563C1"/>
          </w:rPr>
          <w:t>03</w:t>
        </w:r>
      </w:hyperlink>
      <w:hyperlink r:id="rId174">
        <w:r>
          <w:rPr>
            <w:rFonts w:ascii="Times New Roman" w:eastAsia="Times New Roman" w:hAnsi="Times New Roman" w:cs="Times New Roman"/>
            <w:color w:val="0563C1"/>
            <w:sz w:val="24"/>
            <w:u w:val="single" w:color="0563C1"/>
          </w:rPr>
          <w:t>-</w:t>
        </w:r>
      </w:hyperlink>
      <w:hyperlink r:id="rId175">
        <w:r>
          <w:rPr>
            <w:rFonts w:ascii="Times New Roman" w:eastAsia="Times New Roman" w:hAnsi="Times New Roman" w:cs="Times New Roman"/>
            <w:color w:val="0563C1"/>
            <w:sz w:val="24"/>
            <w:u w:val="single" w:color="0563C1"/>
          </w:rPr>
          <w:t>2021</w:t>
        </w:r>
      </w:hyperlink>
      <w:hyperlink r:id="rId176"/>
      <w:hyperlink r:id="rId177">
        <w:r>
          <w:rPr>
            <w:rFonts w:ascii="Times New Roman" w:eastAsia="Times New Roman" w:hAnsi="Times New Roman" w:cs="Times New Roman"/>
            <w:color w:val="0563C1"/>
            <w:sz w:val="24"/>
            <w:u w:val="single" w:color="0563C1"/>
          </w:rPr>
          <w:t>devastatingly</w:t>
        </w:r>
      </w:hyperlink>
      <w:hyperlink r:id="rId178">
        <w:r>
          <w:rPr>
            <w:rFonts w:ascii="Times New Roman" w:eastAsia="Times New Roman" w:hAnsi="Times New Roman" w:cs="Times New Roman"/>
            <w:color w:val="0563C1"/>
            <w:sz w:val="24"/>
            <w:u w:val="single" w:color="0563C1"/>
          </w:rPr>
          <w:t>-</w:t>
        </w:r>
      </w:hyperlink>
      <w:hyperlink r:id="rId179">
        <w:r>
          <w:rPr>
            <w:rFonts w:ascii="Times New Roman" w:eastAsia="Times New Roman" w:hAnsi="Times New Roman" w:cs="Times New Roman"/>
            <w:color w:val="0563C1"/>
            <w:sz w:val="24"/>
            <w:u w:val="single" w:color="0563C1"/>
          </w:rPr>
          <w:t>pervasive</w:t>
        </w:r>
      </w:hyperlink>
      <w:hyperlink r:id="rId180">
        <w:r>
          <w:rPr>
            <w:rFonts w:ascii="Times New Roman" w:eastAsia="Times New Roman" w:hAnsi="Times New Roman" w:cs="Times New Roman"/>
            <w:color w:val="0563C1"/>
            <w:sz w:val="24"/>
            <w:u w:val="single" w:color="0563C1"/>
          </w:rPr>
          <w:t>-</w:t>
        </w:r>
      </w:hyperlink>
      <w:hyperlink r:id="rId181">
        <w:r>
          <w:rPr>
            <w:rFonts w:ascii="Times New Roman" w:eastAsia="Times New Roman" w:hAnsi="Times New Roman" w:cs="Times New Roman"/>
            <w:color w:val="0563C1"/>
            <w:sz w:val="24"/>
            <w:u w:val="single" w:color="0563C1"/>
          </w:rPr>
          <w:t>1</w:t>
        </w:r>
      </w:hyperlink>
      <w:hyperlink r:id="rId182">
        <w:r>
          <w:rPr>
            <w:rFonts w:ascii="Times New Roman" w:eastAsia="Times New Roman" w:hAnsi="Times New Roman" w:cs="Times New Roman"/>
            <w:color w:val="0563C1"/>
            <w:sz w:val="24"/>
            <w:u w:val="single" w:color="0563C1"/>
          </w:rPr>
          <w:t>-</w:t>
        </w:r>
      </w:hyperlink>
      <w:hyperlink r:id="rId183">
        <w:r>
          <w:rPr>
            <w:rFonts w:ascii="Times New Roman" w:eastAsia="Times New Roman" w:hAnsi="Times New Roman" w:cs="Times New Roman"/>
            <w:color w:val="0563C1"/>
            <w:sz w:val="24"/>
            <w:u w:val="single" w:color="0563C1"/>
          </w:rPr>
          <w:t>in</w:t>
        </w:r>
      </w:hyperlink>
      <w:hyperlink r:id="rId184">
        <w:r>
          <w:rPr>
            <w:rFonts w:ascii="Times New Roman" w:eastAsia="Times New Roman" w:hAnsi="Times New Roman" w:cs="Times New Roman"/>
            <w:color w:val="0563C1"/>
            <w:sz w:val="24"/>
            <w:u w:val="single" w:color="0563C1"/>
          </w:rPr>
          <w:t>-</w:t>
        </w:r>
      </w:hyperlink>
      <w:hyperlink r:id="rId185">
        <w:r>
          <w:rPr>
            <w:rFonts w:ascii="Times New Roman" w:eastAsia="Times New Roman" w:hAnsi="Times New Roman" w:cs="Times New Roman"/>
            <w:color w:val="0563C1"/>
            <w:sz w:val="24"/>
            <w:u w:val="single" w:color="0563C1"/>
          </w:rPr>
          <w:t>3</w:t>
        </w:r>
      </w:hyperlink>
      <w:hyperlink r:id="rId186">
        <w:r>
          <w:rPr>
            <w:rFonts w:ascii="Times New Roman" w:eastAsia="Times New Roman" w:hAnsi="Times New Roman" w:cs="Times New Roman"/>
            <w:color w:val="0563C1"/>
            <w:sz w:val="24"/>
            <w:u w:val="single" w:color="0563C1"/>
          </w:rPr>
          <w:t>-</w:t>
        </w:r>
      </w:hyperlink>
      <w:hyperlink r:id="rId187">
        <w:r>
          <w:rPr>
            <w:rFonts w:ascii="Times New Roman" w:eastAsia="Times New Roman" w:hAnsi="Times New Roman" w:cs="Times New Roman"/>
            <w:color w:val="0563C1"/>
            <w:sz w:val="24"/>
            <w:u w:val="single" w:color="0563C1"/>
          </w:rPr>
          <w:t>women</w:t>
        </w:r>
      </w:hyperlink>
      <w:hyperlink r:id="rId188">
        <w:r>
          <w:rPr>
            <w:rFonts w:ascii="Times New Roman" w:eastAsia="Times New Roman" w:hAnsi="Times New Roman" w:cs="Times New Roman"/>
            <w:color w:val="0563C1"/>
            <w:sz w:val="24"/>
            <w:u w:val="single" w:color="0563C1"/>
          </w:rPr>
          <w:t>-</w:t>
        </w:r>
      </w:hyperlink>
      <w:hyperlink r:id="rId189">
        <w:r>
          <w:rPr>
            <w:rFonts w:ascii="Times New Roman" w:eastAsia="Times New Roman" w:hAnsi="Times New Roman" w:cs="Times New Roman"/>
            <w:color w:val="0563C1"/>
            <w:sz w:val="24"/>
            <w:u w:val="single" w:color="0563C1"/>
          </w:rPr>
          <w:t>globally</w:t>
        </w:r>
      </w:hyperlink>
      <w:hyperlink r:id="rId190">
        <w:r>
          <w:rPr>
            <w:rFonts w:ascii="Times New Roman" w:eastAsia="Times New Roman" w:hAnsi="Times New Roman" w:cs="Times New Roman"/>
            <w:color w:val="0563C1"/>
            <w:sz w:val="24"/>
            <w:u w:val="single" w:color="0563C1"/>
          </w:rPr>
          <w:t>-</w:t>
        </w:r>
      </w:hyperlink>
      <w:hyperlink r:id="rId191">
        <w:r>
          <w:rPr>
            <w:rFonts w:ascii="Times New Roman" w:eastAsia="Times New Roman" w:hAnsi="Times New Roman" w:cs="Times New Roman"/>
            <w:color w:val="0563C1"/>
            <w:sz w:val="24"/>
            <w:u w:val="single" w:color="0563C1"/>
          </w:rPr>
          <w:t>experience</w:t>
        </w:r>
      </w:hyperlink>
      <w:hyperlink r:id="rId192">
        <w:r>
          <w:rPr>
            <w:rFonts w:ascii="Times New Roman" w:eastAsia="Times New Roman" w:hAnsi="Times New Roman" w:cs="Times New Roman"/>
            <w:color w:val="0563C1"/>
            <w:sz w:val="24"/>
            <w:u w:val="single" w:color="0563C1"/>
          </w:rPr>
          <w:t>-</w:t>
        </w:r>
      </w:hyperlink>
      <w:hyperlink r:id="rId193">
        <w:r>
          <w:rPr>
            <w:rFonts w:ascii="Times New Roman" w:eastAsia="Times New Roman" w:hAnsi="Times New Roman" w:cs="Times New Roman"/>
            <w:color w:val="0563C1"/>
            <w:sz w:val="24"/>
            <w:u w:val="single" w:color="0563C1"/>
          </w:rPr>
          <w:t>violence</w:t>
        </w:r>
      </w:hyperlink>
      <w:hyperlink r:id="rId194">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(Accessed: 10 February 2023). </w:t>
      </w:r>
    </w:p>
    <w:p w:rsidR="00410213" w:rsidRDefault="00D877C6">
      <w:pPr>
        <w:pStyle w:val="Heading1"/>
        <w:spacing w:after="1"/>
        <w:ind w:left="355" w:right="0"/>
      </w:pPr>
      <w:bookmarkStart w:id="30" w:name="_Toc30326"/>
      <w:r>
        <w:t>2.</w:t>
      </w:r>
      <w:r>
        <w:rPr>
          <w:rFonts w:ascii="Arial" w:eastAsia="Arial" w:hAnsi="Arial" w:cs="Arial"/>
        </w:rPr>
        <w:t xml:space="preserve"> </w:t>
      </w:r>
      <w:r>
        <w:t xml:space="preserve">PICTORALS  </w:t>
      </w:r>
      <w:bookmarkEnd w:id="30"/>
    </w:p>
    <w:p w:rsidR="00410213" w:rsidRDefault="00D877C6">
      <w:pPr>
        <w:spacing w:after="175"/>
      </w:pPr>
      <w:r>
        <w:t xml:space="preserve"> </w:t>
      </w:r>
    </w:p>
    <w:p w:rsidR="00410213" w:rsidRDefault="00D877C6">
      <w:pPr>
        <w:numPr>
          <w:ilvl w:val="0"/>
          <w:numId w:val="11"/>
        </w:numPr>
        <w:spacing w:after="152" w:line="356" w:lineRule="auto"/>
        <w:ind w:hanging="360"/>
      </w:pPr>
      <w:r>
        <w:rPr>
          <w:rFonts w:ascii="Times New Roman" w:eastAsia="Times New Roman" w:hAnsi="Times New Roman" w:cs="Times New Roman"/>
          <w:b/>
          <w:sz w:val="24"/>
        </w:rPr>
        <w:t xml:space="preserve">ORIENTATION AND REINFORCEMENT OF EXPERT VOLUNTEERS ON SRHR/GBV </w:t>
      </w:r>
    </w:p>
    <w:p w:rsidR="00410213" w:rsidRDefault="00D877C6">
      <w:pPr>
        <w:spacing w:after="216"/>
        <w:jc w:val="right"/>
      </w:pPr>
      <w:r>
        <w:rPr>
          <w:noProof/>
        </w:rPr>
        <w:lastRenderedPageBreak/>
        <w:drawing>
          <wp:inline distT="0" distB="0" distL="0" distR="0">
            <wp:extent cx="6000369" cy="4866005"/>
            <wp:effectExtent l="0" t="0" r="0" b="0"/>
            <wp:docPr id="4080" name="Picture 4080"/>
            <wp:cNvGraphicFramePr/>
            <a:graphic xmlns:a="http://schemas.openxmlformats.org/drawingml/2006/main">
              <a:graphicData uri="http://schemas.openxmlformats.org/drawingml/2006/picture">
                <pic:pic xmlns:pic="http://schemas.openxmlformats.org/drawingml/2006/picture">
                  <pic:nvPicPr>
                    <pic:cNvPr id="4080" name="Picture 4080"/>
                    <pic:cNvPicPr/>
                  </pic:nvPicPr>
                  <pic:blipFill>
                    <a:blip r:embed="rId195"/>
                    <a:stretch>
                      <a:fillRect/>
                    </a:stretch>
                  </pic:blipFill>
                  <pic:spPr>
                    <a:xfrm>
                      <a:off x="0" y="0"/>
                      <a:ext cx="6000369" cy="486600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273"/>
        <w:ind w:left="360"/>
      </w:pPr>
      <w:r>
        <w:rPr>
          <w:rFonts w:ascii="Times New Roman" w:eastAsia="Times New Roman" w:hAnsi="Times New Roman" w:cs="Times New Roman"/>
          <w:b/>
          <w:sz w:val="24"/>
        </w:rPr>
        <w:t xml:space="preserve"> </w:t>
      </w:r>
    </w:p>
    <w:p w:rsidR="00410213" w:rsidRDefault="00D877C6">
      <w:pPr>
        <w:spacing w:after="273"/>
        <w:ind w:left="360"/>
      </w:pPr>
      <w:r>
        <w:rPr>
          <w:rFonts w:ascii="Times New Roman" w:eastAsia="Times New Roman" w:hAnsi="Times New Roman" w:cs="Times New Roman"/>
          <w:b/>
          <w:sz w:val="24"/>
        </w:rPr>
        <w:t xml:space="preserve"> </w:t>
      </w:r>
    </w:p>
    <w:p w:rsidR="00410213" w:rsidRDefault="00D877C6">
      <w:pPr>
        <w:spacing w:after="276"/>
        <w:ind w:left="360"/>
      </w:pPr>
      <w:r>
        <w:rPr>
          <w:rFonts w:ascii="Times New Roman" w:eastAsia="Times New Roman" w:hAnsi="Times New Roman" w:cs="Times New Roman"/>
          <w:b/>
          <w:sz w:val="24"/>
        </w:rPr>
        <w:t xml:space="preserve"> </w:t>
      </w:r>
    </w:p>
    <w:p w:rsidR="00410213" w:rsidRDefault="00D877C6">
      <w:pPr>
        <w:spacing w:after="0"/>
        <w:ind w:left="360"/>
      </w:pPr>
      <w:r>
        <w:rPr>
          <w:rFonts w:ascii="Times New Roman" w:eastAsia="Times New Roman" w:hAnsi="Times New Roman" w:cs="Times New Roman"/>
          <w:b/>
          <w:sz w:val="24"/>
        </w:rPr>
        <w:t xml:space="preserve"> </w:t>
      </w:r>
    </w:p>
    <w:p w:rsidR="00410213" w:rsidRDefault="00D877C6">
      <w:pPr>
        <w:numPr>
          <w:ilvl w:val="0"/>
          <w:numId w:val="11"/>
        </w:numPr>
        <w:spacing w:after="152" w:line="357" w:lineRule="auto"/>
        <w:ind w:hanging="360"/>
      </w:pPr>
      <w:r>
        <w:rPr>
          <w:rFonts w:ascii="Times New Roman" w:eastAsia="Times New Roman" w:hAnsi="Times New Roman" w:cs="Times New Roman"/>
          <w:b/>
          <w:sz w:val="24"/>
        </w:rPr>
        <w:t xml:space="preserve">A TALK /FGD ON SRHR/GBV WITH COMMUNITY WOMEN AND GIRLS AT MILE 16 </w:t>
      </w:r>
    </w:p>
    <w:p w:rsidR="00410213" w:rsidRDefault="00D877C6">
      <w:pPr>
        <w:spacing w:after="206"/>
        <w:ind w:right="240"/>
        <w:jc w:val="right"/>
      </w:pPr>
      <w:r>
        <w:rPr>
          <w:noProof/>
        </w:rPr>
        <w:lastRenderedPageBreak/>
        <w:drawing>
          <wp:inline distT="0" distB="0" distL="0" distR="0">
            <wp:extent cx="6073140" cy="3569335"/>
            <wp:effectExtent l="0" t="0" r="0" b="0"/>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196"/>
                    <a:stretch>
                      <a:fillRect/>
                    </a:stretch>
                  </pic:blipFill>
                  <pic:spPr>
                    <a:xfrm>
                      <a:off x="0" y="0"/>
                      <a:ext cx="6073140" cy="356933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218"/>
        <w:ind w:right="77"/>
        <w:jc w:val="right"/>
      </w:pPr>
      <w:r>
        <w:rPr>
          <w:noProof/>
        </w:rPr>
        <w:drawing>
          <wp:inline distT="0" distB="0" distL="0" distR="0">
            <wp:extent cx="5951220" cy="3609975"/>
            <wp:effectExtent l="0" t="0" r="0" b="0"/>
            <wp:docPr id="4127" name="Picture 4127"/>
            <wp:cNvGraphicFramePr/>
            <a:graphic xmlns:a="http://schemas.openxmlformats.org/drawingml/2006/main">
              <a:graphicData uri="http://schemas.openxmlformats.org/drawingml/2006/picture">
                <pic:pic xmlns:pic="http://schemas.openxmlformats.org/drawingml/2006/picture">
                  <pic:nvPicPr>
                    <pic:cNvPr id="4127" name="Picture 4127"/>
                    <pic:cNvPicPr/>
                  </pic:nvPicPr>
                  <pic:blipFill>
                    <a:blip r:embed="rId197"/>
                    <a:stretch>
                      <a:fillRect/>
                    </a:stretch>
                  </pic:blipFill>
                  <pic:spPr>
                    <a:xfrm>
                      <a:off x="0" y="0"/>
                      <a:ext cx="5951220" cy="360997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273"/>
        <w:ind w:left="360"/>
      </w:pPr>
      <w:r>
        <w:rPr>
          <w:rFonts w:ascii="Times New Roman" w:eastAsia="Times New Roman" w:hAnsi="Times New Roman" w:cs="Times New Roman"/>
          <w:b/>
          <w:sz w:val="24"/>
        </w:rPr>
        <w:t xml:space="preserve"> </w:t>
      </w:r>
    </w:p>
    <w:p w:rsidR="00410213" w:rsidRDefault="00D877C6">
      <w:pPr>
        <w:spacing w:after="0"/>
      </w:pPr>
      <w:r>
        <w:rPr>
          <w:rFonts w:ascii="Times New Roman" w:eastAsia="Times New Roman" w:hAnsi="Times New Roman" w:cs="Times New Roman"/>
          <w:b/>
          <w:sz w:val="24"/>
        </w:rPr>
        <w:t xml:space="preserve"> </w:t>
      </w:r>
    </w:p>
    <w:p w:rsidR="00410213" w:rsidRDefault="00D877C6">
      <w:pPr>
        <w:numPr>
          <w:ilvl w:val="0"/>
          <w:numId w:val="11"/>
        </w:numPr>
        <w:spacing w:after="265" w:line="258" w:lineRule="auto"/>
        <w:ind w:hanging="360"/>
      </w:pPr>
      <w:r>
        <w:rPr>
          <w:rFonts w:ascii="Times New Roman" w:eastAsia="Times New Roman" w:hAnsi="Times New Roman" w:cs="Times New Roman"/>
          <w:b/>
          <w:sz w:val="24"/>
        </w:rPr>
        <w:t xml:space="preserve">A MEDIA CAMPAIGN </w:t>
      </w:r>
      <w:r>
        <w:rPr>
          <w:rFonts w:ascii="Times New Roman" w:eastAsia="Times New Roman" w:hAnsi="Times New Roman" w:cs="Times New Roman"/>
          <w:b/>
          <w:sz w:val="24"/>
        </w:rPr>
        <w:t xml:space="preserve">ON GBV/SRHR AT HI TV STATION, BUEA </w:t>
      </w:r>
    </w:p>
    <w:p w:rsidR="00410213" w:rsidRDefault="00D877C6">
      <w:pPr>
        <w:spacing w:after="61" w:line="445" w:lineRule="auto"/>
        <w:ind w:right="89" w:firstLine="360"/>
      </w:pPr>
      <w:r>
        <w:rPr>
          <w:noProof/>
        </w:rPr>
        <w:lastRenderedPageBreak/>
        <w:drawing>
          <wp:inline distT="0" distB="0" distL="0" distR="0">
            <wp:extent cx="5943600" cy="3324226"/>
            <wp:effectExtent l="0" t="0" r="0" b="0"/>
            <wp:docPr id="4161" name="Picture 4161"/>
            <wp:cNvGraphicFramePr/>
            <a:graphic xmlns:a="http://schemas.openxmlformats.org/drawingml/2006/main">
              <a:graphicData uri="http://schemas.openxmlformats.org/drawingml/2006/picture">
                <pic:pic xmlns:pic="http://schemas.openxmlformats.org/drawingml/2006/picture">
                  <pic:nvPicPr>
                    <pic:cNvPr id="4161" name="Picture 4161"/>
                    <pic:cNvPicPr/>
                  </pic:nvPicPr>
                  <pic:blipFill>
                    <a:blip r:embed="rId198"/>
                    <a:stretch>
                      <a:fillRect/>
                    </a:stretch>
                  </pic:blipFill>
                  <pic:spPr>
                    <a:xfrm>
                      <a:off x="0" y="0"/>
                      <a:ext cx="5943600" cy="3324226"/>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numPr>
          <w:ilvl w:val="0"/>
          <w:numId w:val="11"/>
        </w:numPr>
        <w:spacing w:after="148" w:line="358" w:lineRule="auto"/>
        <w:ind w:hanging="360"/>
      </w:pPr>
      <w:r>
        <w:rPr>
          <w:rFonts w:ascii="Times New Roman" w:eastAsia="Times New Roman" w:hAnsi="Times New Roman" w:cs="Times New Roman"/>
          <w:b/>
          <w:sz w:val="24"/>
        </w:rPr>
        <w:t xml:space="preserve">A RADIO TALK SHOW ON SRHR/GBV WITH CBS RADIO STATION, BUEA, FAKO DIVISION </w:t>
      </w:r>
    </w:p>
    <w:p w:rsidR="00410213" w:rsidRDefault="00D877C6">
      <w:pPr>
        <w:spacing w:after="0"/>
        <w:ind w:right="1548"/>
        <w:jc w:val="right"/>
      </w:pPr>
      <w:r>
        <w:rPr>
          <w:noProof/>
        </w:rPr>
        <w:drawing>
          <wp:inline distT="0" distB="0" distL="0" distR="0">
            <wp:extent cx="5246370" cy="3238119"/>
            <wp:effectExtent l="0" t="0" r="0" b="0"/>
            <wp:docPr id="4163" name="Picture 4163"/>
            <wp:cNvGraphicFramePr/>
            <a:graphic xmlns:a="http://schemas.openxmlformats.org/drawingml/2006/main">
              <a:graphicData uri="http://schemas.openxmlformats.org/drawingml/2006/picture">
                <pic:pic xmlns:pic="http://schemas.openxmlformats.org/drawingml/2006/picture">
                  <pic:nvPicPr>
                    <pic:cNvPr id="4163" name="Picture 4163"/>
                    <pic:cNvPicPr/>
                  </pic:nvPicPr>
                  <pic:blipFill>
                    <a:blip r:embed="rId199"/>
                    <a:stretch>
                      <a:fillRect/>
                    </a:stretch>
                  </pic:blipFill>
                  <pic:spPr>
                    <a:xfrm>
                      <a:off x="0" y="0"/>
                      <a:ext cx="5246370" cy="3238119"/>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56" w:line="449" w:lineRule="auto"/>
        <w:ind w:right="1548"/>
      </w:pPr>
      <w:r>
        <w:rPr>
          <w:noProof/>
        </w:rPr>
        <w:lastRenderedPageBreak/>
        <w:drawing>
          <wp:inline distT="0" distB="0" distL="0" distR="0">
            <wp:extent cx="5246370" cy="3267075"/>
            <wp:effectExtent l="0" t="0" r="0" b="0"/>
            <wp:docPr id="4187" name="Picture 4187"/>
            <wp:cNvGraphicFramePr/>
            <a:graphic xmlns:a="http://schemas.openxmlformats.org/drawingml/2006/main">
              <a:graphicData uri="http://schemas.openxmlformats.org/drawingml/2006/picture">
                <pic:pic xmlns:pic="http://schemas.openxmlformats.org/drawingml/2006/picture">
                  <pic:nvPicPr>
                    <pic:cNvPr id="4187" name="Picture 4187"/>
                    <pic:cNvPicPr/>
                  </pic:nvPicPr>
                  <pic:blipFill>
                    <a:blip r:embed="rId200"/>
                    <a:stretch>
                      <a:fillRect/>
                    </a:stretch>
                  </pic:blipFill>
                  <pic:spPr>
                    <a:xfrm>
                      <a:off x="0" y="0"/>
                      <a:ext cx="5246370" cy="326707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numPr>
          <w:ilvl w:val="0"/>
          <w:numId w:val="11"/>
        </w:numPr>
        <w:spacing w:after="264" w:line="258" w:lineRule="auto"/>
        <w:ind w:hanging="360"/>
      </w:pPr>
      <w:r>
        <w:rPr>
          <w:rFonts w:ascii="Times New Roman" w:eastAsia="Times New Roman" w:hAnsi="Times New Roman" w:cs="Times New Roman"/>
          <w:b/>
          <w:sz w:val="24"/>
        </w:rPr>
        <w:t xml:space="preserve">MASS SENSITIZATION OF MEN AND WOMEN ON SRHR/GBV AT THE CATHOLIC CHURCH MILE -16  </w:t>
      </w:r>
    </w:p>
    <w:p w:rsidR="00410213" w:rsidRDefault="00D877C6">
      <w:pPr>
        <w:spacing w:after="0"/>
        <w:ind w:right="449"/>
        <w:jc w:val="right"/>
      </w:pPr>
      <w:r>
        <w:rPr>
          <w:noProof/>
        </w:rPr>
        <w:drawing>
          <wp:inline distT="0" distB="0" distL="0" distR="0">
            <wp:extent cx="5943600" cy="3171825"/>
            <wp:effectExtent l="0" t="0" r="0" b="0"/>
            <wp:docPr id="4189" name="Picture 4189"/>
            <wp:cNvGraphicFramePr/>
            <a:graphic xmlns:a="http://schemas.openxmlformats.org/drawingml/2006/main">
              <a:graphicData uri="http://schemas.openxmlformats.org/drawingml/2006/picture">
                <pic:pic xmlns:pic="http://schemas.openxmlformats.org/drawingml/2006/picture">
                  <pic:nvPicPr>
                    <pic:cNvPr id="4189" name="Picture 4189"/>
                    <pic:cNvPicPr/>
                  </pic:nvPicPr>
                  <pic:blipFill>
                    <a:blip r:embed="rId201"/>
                    <a:stretch>
                      <a:fillRect/>
                    </a:stretch>
                  </pic:blipFill>
                  <pic:spPr>
                    <a:xfrm>
                      <a:off x="0" y="0"/>
                      <a:ext cx="5943600" cy="317182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224"/>
        <w:ind w:right="449"/>
        <w:jc w:val="right"/>
      </w:pPr>
      <w:r>
        <w:rPr>
          <w:noProof/>
        </w:rPr>
        <w:lastRenderedPageBreak/>
        <w:drawing>
          <wp:inline distT="0" distB="0" distL="0" distR="0">
            <wp:extent cx="5943600" cy="3724275"/>
            <wp:effectExtent l="0" t="0" r="0" b="0"/>
            <wp:docPr id="4210" name="Picture 4210"/>
            <wp:cNvGraphicFramePr/>
            <a:graphic xmlns:a="http://schemas.openxmlformats.org/drawingml/2006/main">
              <a:graphicData uri="http://schemas.openxmlformats.org/drawingml/2006/picture">
                <pic:pic xmlns:pic="http://schemas.openxmlformats.org/drawingml/2006/picture">
                  <pic:nvPicPr>
                    <pic:cNvPr id="4210" name="Picture 4210"/>
                    <pic:cNvPicPr/>
                  </pic:nvPicPr>
                  <pic:blipFill>
                    <a:blip r:embed="rId202"/>
                    <a:stretch>
                      <a:fillRect/>
                    </a:stretch>
                  </pic:blipFill>
                  <pic:spPr>
                    <a:xfrm>
                      <a:off x="0" y="0"/>
                      <a:ext cx="5943600" cy="372427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numPr>
          <w:ilvl w:val="0"/>
          <w:numId w:val="11"/>
        </w:numPr>
        <w:spacing w:after="148" w:line="358" w:lineRule="auto"/>
        <w:ind w:hanging="360"/>
      </w:pPr>
      <w:r>
        <w:rPr>
          <w:rFonts w:ascii="Times New Roman" w:eastAsia="Times New Roman" w:hAnsi="Times New Roman" w:cs="Times New Roman"/>
          <w:b/>
          <w:sz w:val="24"/>
        </w:rPr>
        <w:t xml:space="preserve">ENGAGING COMMUNITY LEADERS ON SRHR AND GBV </w:t>
      </w:r>
      <w:r>
        <w:rPr>
          <w:rFonts w:ascii="Times New Roman" w:eastAsia="Times New Roman" w:hAnsi="Times New Roman" w:cs="Times New Roman"/>
          <w:b/>
          <w:sz w:val="24"/>
        </w:rPr>
        <w:t xml:space="preserve">AT THE MILE 16 COMMUNITY  </w:t>
      </w:r>
    </w:p>
    <w:p w:rsidR="00410213" w:rsidRDefault="00D877C6">
      <w:pPr>
        <w:spacing w:after="0"/>
        <w:ind w:right="449"/>
        <w:jc w:val="right"/>
      </w:pPr>
      <w:r>
        <w:rPr>
          <w:noProof/>
        </w:rPr>
        <w:drawing>
          <wp:inline distT="0" distB="0" distL="0" distR="0">
            <wp:extent cx="5943600" cy="3143250"/>
            <wp:effectExtent l="0" t="0" r="0" b="0"/>
            <wp:docPr id="4212" name="Picture 4212"/>
            <wp:cNvGraphicFramePr/>
            <a:graphic xmlns:a="http://schemas.openxmlformats.org/drawingml/2006/main">
              <a:graphicData uri="http://schemas.openxmlformats.org/drawingml/2006/picture">
                <pic:pic xmlns:pic="http://schemas.openxmlformats.org/drawingml/2006/picture">
                  <pic:nvPicPr>
                    <pic:cNvPr id="4212" name="Picture 4212"/>
                    <pic:cNvPicPr/>
                  </pic:nvPicPr>
                  <pic:blipFill>
                    <a:blip r:embed="rId203"/>
                    <a:stretch>
                      <a:fillRect/>
                    </a:stretch>
                  </pic:blipFill>
                  <pic:spPr>
                    <a:xfrm>
                      <a:off x="0" y="0"/>
                      <a:ext cx="5943600" cy="3143250"/>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56" w:line="450" w:lineRule="auto"/>
        <w:ind w:right="449"/>
      </w:pPr>
      <w:r>
        <w:rPr>
          <w:noProof/>
        </w:rPr>
        <w:lastRenderedPageBreak/>
        <w:drawing>
          <wp:inline distT="0" distB="0" distL="0" distR="0">
            <wp:extent cx="5943600" cy="4467225"/>
            <wp:effectExtent l="0" t="0" r="0" b="0"/>
            <wp:docPr id="4232" name="Picture 4232"/>
            <wp:cNvGraphicFramePr/>
            <a:graphic xmlns:a="http://schemas.openxmlformats.org/drawingml/2006/main">
              <a:graphicData uri="http://schemas.openxmlformats.org/drawingml/2006/picture">
                <pic:pic xmlns:pic="http://schemas.openxmlformats.org/drawingml/2006/picture">
                  <pic:nvPicPr>
                    <pic:cNvPr id="4232" name="Picture 4232"/>
                    <pic:cNvPicPr/>
                  </pic:nvPicPr>
                  <pic:blipFill>
                    <a:blip r:embed="rId204"/>
                    <a:stretch>
                      <a:fillRect/>
                    </a:stretch>
                  </pic:blipFill>
                  <pic:spPr>
                    <a:xfrm>
                      <a:off x="0" y="0"/>
                      <a:ext cx="5943600" cy="4467225"/>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numPr>
          <w:ilvl w:val="0"/>
          <w:numId w:val="11"/>
        </w:numPr>
        <w:spacing w:after="263" w:line="258" w:lineRule="auto"/>
        <w:ind w:hanging="360"/>
      </w:pPr>
      <w:r>
        <w:rPr>
          <w:rFonts w:ascii="Times New Roman" w:eastAsia="Times New Roman" w:hAnsi="Times New Roman" w:cs="Times New Roman"/>
          <w:b/>
          <w:sz w:val="24"/>
        </w:rPr>
        <w:t xml:space="preserve">A CAMPAIGN ON SRHR/GBV AT THE BONAKANDA RADIO STATION </w:t>
      </w:r>
    </w:p>
    <w:p w:rsidR="00410213" w:rsidRDefault="00D877C6">
      <w:pPr>
        <w:spacing w:after="0"/>
        <w:ind w:right="449"/>
        <w:jc w:val="right"/>
      </w:pPr>
      <w:r>
        <w:rPr>
          <w:noProof/>
        </w:rPr>
        <w:drawing>
          <wp:inline distT="0" distB="0" distL="0" distR="0">
            <wp:extent cx="5943600" cy="3486150"/>
            <wp:effectExtent l="0" t="0" r="0" b="0"/>
            <wp:docPr id="4234" name="Picture 4234"/>
            <wp:cNvGraphicFramePr/>
            <a:graphic xmlns:a="http://schemas.openxmlformats.org/drawingml/2006/main">
              <a:graphicData uri="http://schemas.openxmlformats.org/drawingml/2006/picture">
                <pic:pic xmlns:pic="http://schemas.openxmlformats.org/drawingml/2006/picture">
                  <pic:nvPicPr>
                    <pic:cNvPr id="4234" name="Picture 4234"/>
                    <pic:cNvPicPr/>
                  </pic:nvPicPr>
                  <pic:blipFill>
                    <a:blip r:embed="rId205"/>
                    <a:stretch>
                      <a:fillRect/>
                    </a:stretch>
                  </pic:blipFill>
                  <pic:spPr>
                    <a:xfrm>
                      <a:off x="0" y="0"/>
                      <a:ext cx="5943600" cy="3486150"/>
                    </a:xfrm>
                    <a:prstGeom prst="rect">
                      <a:avLst/>
                    </a:prstGeom>
                  </pic:spPr>
                </pic:pic>
              </a:graphicData>
            </a:graphic>
          </wp:inline>
        </w:drawing>
      </w:r>
      <w:r>
        <w:rPr>
          <w:rFonts w:ascii="Times New Roman" w:eastAsia="Times New Roman" w:hAnsi="Times New Roman" w:cs="Times New Roman"/>
          <w:b/>
          <w:sz w:val="24"/>
        </w:rPr>
        <w:t xml:space="preserve"> </w:t>
      </w:r>
    </w:p>
    <w:p w:rsidR="00410213" w:rsidRDefault="00D877C6">
      <w:pPr>
        <w:spacing w:after="265" w:line="258" w:lineRule="auto"/>
        <w:ind w:left="10" w:hanging="10"/>
      </w:pPr>
      <w:r>
        <w:rPr>
          <w:rFonts w:ascii="Times New Roman" w:eastAsia="Times New Roman" w:hAnsi="Times New Roman" w:cs="Times New Roman"/>
          <w:b/>
          <w:sz w:val="24"/>
        </w:rPr>
        <w:t xml:space="preserve">e. Recommendation letter from Rotary Peace Center </w:t>
      </w:r>
    </w:p>
    <w:p w:rsidR="00410213" w:rsidRDefault="00D877C6">
      <w:pPr>
        <w:spacing w:after="221"/>
        <w:ind w:right="720"/>
        <w:jc w:val="right"/>
      </w:pPr>
      <w:r>
        <w:rPr>
          <w:noProof/>
        </w:rPr>
        <w:drawing>
          <wp:inline distT="0" distB="0" distL="0" distR="0">
            <wp:extent cx="5767960" cy="6472555"/>
            <wp:effectExtent l="0" t="0" r="0" b="0"/>
            <wp:docPr id="4295" name="Picture 4295"/>
            <wp:cNvGraphicFramePr/>
            <a:graphic xmlns:a="http://schemas.openxmlformats.org/drawingml/2006/main">
              <a:graphicData uri="http://schemas.openxmlformats.org/drawingml/2006/picture">
                <pic:pic xmlns:pic="http://schemas.openxmlformats.org/drawingml/2006/picture">
                  <pic:nvPicPr>
                    <pic:cNvPr id="4295" name="Picture 4295"/>
                    <pic:cNvPicPr/>
                  </pic:nvPicPr>
                  <pic:blipFill>
                    <a:blip r:embed="rId206"/>
                    <a:stretch>
                      <a:fillRect/>
                    </a:stretch>
                  </pic:blipFill>
                  <pic:spPr>
                    <a:xfrm>
                      <a:off x="0" y="0"/>
                      <a:ext cx="5767960" cy="6472555"/>
                    </a:xfrm>
                    <a:prstGeom prst="rect">
                      <a:avLst/>
                    </a:prstGeom>
                  </pic:spPr>
                </pic:pic>
              </a:graphicData>
            </a:graphic>
          </wp:inline>
        </w:drawing>
      </w:r>
      <w:r>
        <w:rPr>
          <w:rFonts w:ascii="Times New Roman" w:eastAsia="Times New Roman" w:hAnsi="Times New Roman" w:cs="Times New Roman"/>
          <w:sz w:val="24"/>
        </w:rPr>
        <w:t xml:space="preserve"> </w:t>
      </w:r>
    </w:p>
    <w:p w:rsidR="00410213" w:rsidRDefault="00D877C6">
      <w:pPr>
        <w:spacing w:after="154" w:line="363" w:lineRule="auto"/>
        <w:ind w:left="-5" w:right="413" w:hanging="10"/>
      </w:pPr>
      <w:r>
        <w:rPr>
          <w:rFonts w:ascii="Times New Roman" w:eastAsia="Times New Roman" w:hAnsi="Times New Roman" w:cs="Times New Roman"/>
          <w:sz w:val="24"/>
        </w:rPr>
        <w:t>Please note that due to security and safety concerns from community members, they do not consent to taking the</w:t>
      </w:r>
      <w:r>
        <w:rPr>
          <w:rFonts w:ascii="Times New Roman" w:eastAsia="Times New Roman" w:hAnsi="Times New Roman" w:cs="Times New Roman"/>
          <w:sz w:val="24"/>
        </w:rPr>
        <w:t>ir videos or signing any form of consent letters. In fact, successfully implementing the SCI project in such highly hit conflict areas was an immeasurable risk. Therefore, participant testimonial videos have not been included in this report. However, for e</w:t>
      </w:r>
      <w:r>
        <w:rPr>
          <w:rFonts w:ascii="Times New Roman" w:eastAsia="Times New Roman" w:hAnsi="Times New Roman" w:cs="Times New Roman"/>
          <w:sz w:val="24"/>
        </w:rPr>
        <w:t>vidence purposes, such videos and excerpts from the awareness raising at the Catholic church Mile 16, and radio stations, and a short video from some community leaders, have been shared with my mentor through WhatsApp with the advise that she does not shar</w:t>
      </w:r>
      <w:r>
        <w:rPr>
          <w:rFonts w:ascii="Times New Roman" w:eastAsia="Times New Roman" w:hAnsi="Times New Roman" w:cs="Times New Roman"/>
          <w:sz w:val="24"/>
        </w:rPr>
        <w:t xml:space="preserve">e externally.  </w:t>
      </w:r>
    </w:p>
    <w:sectPr w:rsidR="00410213">
      <w:footerReference w:type="even" r:id="rId207"/>
      <w:footerReference w:type="default" r:id="rId208"/>
      <w:footerReference w:type="first" r:id="rId209"/>
      <w:pgSz w:w="11906" w:h="16838"/>
      <w:pgMar w:top="1440" w:right="596" w:bottom="1259" w:left="1440"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7C6" w:rsidRDefault="00D877C6">
      <w:pPr>
        <w:spacing w:after="0" w:line="240" w:lineRule="auto"/>
      </w:pPr>
      <w:r>
        <w:separator/>
      </w:r>
    </w:p>
  </w:endnote>
  <w:endnote w:type="continuationSeparator" w:id="0">
    <w:p w:rsidR="00D877C6" w:rsidRDefault="00D8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213" w:rsidRDefault="00D877C6">
    <w:pPr>
      <w:spacing w:after="0"/>
      <w:ind w:right="417"/>
      <w:jc w:val="center"/>
    </w:pPr>
    <w:r>
      <w:fldChar w:fldCharType="begin"/>
    </w:r>
    <w:r>
      <w:instrText xml:space="preserve"> PAGE   \* MERGEFORMAT </w:instrText>
    </w:r>
    <w:r>
      <w:fldChar w:fldCharType="separate"/>
    </w:r>
    <w:r>
      <w:t>1</w:t>
    </w:r>
    <w:r>
      <w:fldChar w:fldCharType="end"/>
    </w:r>
    <w:r>
      <w:t xml:space="preserve"> </w:t>
    </w:r>
  </w:p>
  <w:p w:rsidR="00410213" w:rsidRDefault="00D877C6">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213" w:rsidRDefault="00D877C6">
    <w:pPr>
      <w:spacing w:after="0"/>
      <w:ind w:right="417"/>
      <w:jc w:val="center"/>
    </w:pPr>
    <w:r>
      <w:fldChar w:fldCharType="begin"/>
    </w:r>
    <w:r>
      <w:instrText xml:space="preserve"> PAGE   \* MERGEFORMAT </w:instrText>
    </w:r>
    <w:r>
      <w:fldChar w:fldCharType="separate"/>
    </w:r>
    <w:r w:rsidR="004E78D8">
      <w:rPr>
        <w:noProof/>
      </w:rPr>
      <w:t>1</w:t>
    </w:r>
    <w:r>
      <w:fldChar w:fldCharType="end"/>
    </w:r>
    <w:r>
      <w:t xml:space="preserve"> </w:t>
    </w:r>
  </w:p>
  <w:p w:rsidR="00410213" w:rsidRDefault="00D877C6">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213" w:rsidRDefault="00D877C6">
    <w:pPr>
      <w:spacing w:after="0"/>
      <w:ind w:right="417"/>
      <w:jc w:val="center"/>
    </w:pPr>
    <w:r>
      <w:fldChar w:fldCharType="begin"/>
    </w:r>
    <w:r>
      <w:instrText xml:space="preserve"> PAGE   \* MERGEFORMAT </w:instrText>
    </w:r>
    <w:r>
      <w:fldChar w:fldCharType="separate"/>
    </w:r>
    <w:r>
      <w:t>1</w:t>
    </w:r>
    <w:r>
      <w:fldChar w:fldCharType="end"/>
    </w:r>
    <w:r>
      <w:t xml:space="preserve"> </w:t>
    </w:r>
  </w:p>
  <w:p w:rsidR="00410213" w:rsidRDefault="00D877C6">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7C6" w:rsidRDefault="00D877C6">
      <w:pPr>
        <w:spacing w:after="0" w:line="240" w:lineRule="auto"/>
      </w:pPr>
      <w:r>
        <w:separator/>
      </w:r>
    </w:p>
  </w:footnote>
  <w:footnote w:type="continuationSeparator" w:id="0">
    <w:p w:rsidR="00D877C6" w:rsidRDefault="00D87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5CC1"/>
    <w:multiLevelType w:val="hybridMultilevel"/>
    <w:tmpl w:val="53125400"/>
    <w:lvl w:ilvl="0" w:tplc="15DE65BE">
      <w:start w:val="1"/>
      <w:numFmt w:val="lowerLetter"/>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60EC8C">
      <w:start w:val="1"/>
      <w:numFmt w:val="lowerLetter"/>
      <w:lvlText w:val="%2"/>
      <w:lvlJc w:val="left"/>
      <w:pPr>
        <w:ind w:left="1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D65ACA">
      <w:start w:val="1"/>
      <w:numFmt w:val="lowerRoman"/>
      <w:lvlText w:val="%3"/>
      <w:lvlJc w:val="left"/>
      <w:pPr>
        <w:ind w:left="2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7A25000">
      <w:start w:val="1"/>
      <w:numFmt w:val="decimal"/>
      <w:lvlText w:val="%4"/>
      <w:lvlJc w:val="left"/>
      <w:pPr>
        <w:ind w:left="2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322826">
      <w:start w:val="1"/>
      <w:numFmt w:val="lowerLetter"/>
      <w:lvlText w:val="%5"/>
      <w:lvlJc w:val="left"/>
      <w:pPr>
        <w:ind w:left="3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541D24">
      <w:start w:val="1"/>
      <w:numFmt w:val="lowerRoman"/>
      <w:lvlText w:val="%6"/>
      <w:lvlJc w:val="left"/>
      <w:pPr>
        <w:ind w:left="4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994EF98">
      <w:start w:val="1"/>
      <w:numFmt w:val="decimal"/>
      <w:lvlText w:val="%7"/>
      <w:lvlJc w:val="left"/>
      <w:pPr>
        <w:ind w:left="4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5ABDF8">
      <w:start w:val="1"/>
      <w:numFmt w:val="lowerLetter"/>
      <w:lvlText w:val="%8"/>
      <w:lvlJc w:val="left"/>
      <w:pPr>
        <w:ind w:left="5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1404C4">
      <w:start w:val="1"/>
      <w:numFmt w:val="lowerRoman"/>
      <w:lvlText w:val="%9"/>
      <w:lvlJc w:val="left"/>
      <w:pPr>
        <w:ind w:left="6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DC7DEA"/>
    <w:multiLevelType w:val="hybridMultilevel"/>
    <w:tmpl w:val="759C75BC"/>
    <w:lvl w:ilvl="0" w:tplc="499423D4">
      <w:start w:val="1"/>
      <w:numFmt w:val="lowerLetter"/>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947D9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BC80F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DE41C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64D63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C4A5C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D897E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40B07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EAF05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BF0A59"/>
    <w:multiLevelType w:val="hybridMultilevel"/>
    <w:tmpl w:val="6382CA34"/>
    <w:lvl w:ilvl="0" w:tplc="D514E384">
      <w:start w:val="1"/>
      <w:numFmt w:val="lowerRoman"/>
      <w:lvlText w:val="%1."/>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2A11E">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C7B86">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2E65A">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68ACC">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9231A4">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02F592">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A4A8F4">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C2B8DC">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375A84"/>
    <w:multiLevelType w:val="hybridMultilevel"/>
    <w:tmpl w:val="8B2449F4"/>
    <w:lvl w:ilvl="0" w:tplc="7ACC47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EA94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EC92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9C95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7CEB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BE9B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F851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8B3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569F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0A4CC7"/>
    <w:multiLevelType w:val="hybridMultilevel"/>
    <w:tmpl w:val="80E42A12"/>
    <w:lvl w:ilvl="0" w:tplc="608AE1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A670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C76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E6A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1E62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4067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4DC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E3D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A482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ADB159B"/>
    <w:multiLevelType w:val="hybridMultilevel"/>
    <w:tmpl w:val="2A2423E2"/>
    <w:lvl w:ilvl="0" w:tplc="17B28B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4213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1A7A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844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FEE4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093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00F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CED2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8863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841250"/>
    <w:multiLevelType w:val="hybridMultilevel"/>
    <w:tmpl w:val="774E76B0"/>
    <w:lvl w:ilvl="0" w:tplc="D4E62E2A">
      <w:start w:val="2"/>
      <w:numFmt w:val="lowerRoman"/>
      <w:lvlText w:val="%1."/>
      <w:lvlJc w:val="left"/>
      <w:pPr>
        <w:ind w:left="7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80D926">
      <w:start w:val="1"/>
      <w:numFmt w:val="lowerLetter"/>
      <w:lvlText w:val="%2"/>
      <w:lvlJc w:val="left"/>
      <w:pPr>
        <w:ind w:left="1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F43908">
      <w:start w:val="1"/>
      <w:numFmt w:val="lowerRoman"/>
      <w:lvlText w:val="%3"/>
      <w:lvlJc w:val="left"/>
      <w:pPr>
        <w:ind w:left="1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E2B2D8">
      <w:start w:val="1"/>
      <w:numFmt w:val="decimal"/>
      <w:lvlText w:val="%4"/>
      <w:lvlJc w:val="left"/>
      <w:pPr>
        <w:ind w:left="2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E92AB06">
      <w:start w:val="1"/>
      <w:numFmt w:val="lowerLetter"/>
      <w:lvlText w:val="%5"/>
      <w:lvlJc w:val="left"/>
      <w:pPr>
        <w:ind w:left="3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E4CEA6">
      <w:start w:val="1"/>
      <w:numFmt w:val="lowerRoman"/>
      <w:lvlText w:val="%6"/>
      <w:lvlJc w:val="left"/>
      <w:pPr>
        <w:ind w:left="4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429CB0">
      <w:start w:val="1"/>
      <w:numFmt w:val="decimal"/>
      <w:lvlText w:val="%7"/>
      <w:lvlJc w:val="left"/>
      <w:pPr>
        <w:ind w:left="4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BA1544">
      <w:start w:val="1"/>
      <w:numFmt w:val="lowerLetter"/>
      <w:lvlText w:val="%8"/>
      <w:lvlJc w:val="left"/>
      <w:pPr>
        <w:ind w:left="5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22F0D8">
      <w:start w:val="1"/>
      <w:numFmt w:val="lowerRoman"/>
      <w:lvlText w:val="%9"/>
      <w:lvlJc w:val="left"/>
      <w:pPr>
        <w:ind w:left="6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7B69A0"/>
    <w:multiLevelType w:val="hybridMultilevel"/>
    <w:tmpl w:val="F4561BF2"/>
    <w:lvl w:ilvl="0" w:tplc="77626C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BE76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30FC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F699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1462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9478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3C2B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A62B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0C4A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FE093B"/>
    <w:multiLevelType w:val="hybridMultilevel"/>
    <w:tmpl w:val="B5C02542"/>
    <w:lvl w:ilvl="0" w:tplc="D786DDF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AAB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E3E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6063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F6B3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4A7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BCD3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034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E2B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1A060A3"/>
    <w:multiLevelType w:val="hybridMultilevel"/>
    <w:tmpl w:val="0F4C35D6"/>
    <w:lvl w:ilvl="0" w:tplc="B25E4F9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4EAE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044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0D5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2D3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4487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C17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4D3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4EC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2810C07"/>
    <w:multiLevelType w:val="hybridMultilevel"/>
    <w:tmpl w:val="25741D78"/>
    <w:lvl w:ilvl="0" w:tplc="ECB45F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74D5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C258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9844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08C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8650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E83C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A71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69F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8"/>
  </w:num>
  <w:num w:numId="3">
    <w:abstractNumId w:val="2"/>
  </w:num>
  <w:num w:numId="4">
    <w:abstractNumId w:val="4"/>
  </w:num>
  <w:num w:numId="5">
    <w:abstractNumId w:val="9"/>
  </w:num>
  <w:num w:numId="6">
    <w:abstractNumId w:val="6"/>
  </w:num>
  <w:num w:numId="7">
    <w:abstractNumId w:val="1"/>
  </w:num>
  <w:num w:numId="8">
    <w:abstractNumId w:val="7"/>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13"/>
    <w:rsid w:val="00410213"/>
    <w:rsid w:val="004E78D8"/>
    <w:rsid w:val="00D8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75174-66A4-4C7D-919E-E5C9C2FD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18" w:line="258" w:lineRule="auto"/>
      <w:ind w:left="10" w:right="42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8" w:line="258" w:lineRule="auto"/>
      <w:ind w:left="10" w:right="421"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8" w:line="258" w:lineRule="auto"/>
      <w:ind w:left="10" w:right="421"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13"/>
      <w:ind w:left="25" w:right="436" w:hanging="10"/>
      <w:jc w:val="both"/>
    </w:pPr>
    <w:rPr>
      <w:rFonts w:ascii="Calibri" w:eastAsia="Calibri" w:hAnsi="Calibri" w:cs="Calibri"/>
      <w:color w:val="000000"/>
    </w:rPr>
  </w:style>
  <w:style w:type="paragraph" w:styleId="TOC2">
    <w:name w:val="toc 2"/>
    <w:hidden/>
    <w:pPr>
      <w:spacing w:after="16" w:line="347" w:lineRule="auto"/>
      <w:ind w:left="25" w:right="436" w:hanging="10"/>
      <w:jc w:val="both"/>
    </w:pPr>
    <w:rPr>
      <w:rFonts w:ascii="Calibri" w:eastAsia="Calibri" w:hAnsi="Calibri" w:cs="Calibri"/>
      <w:color w:val="000000"/>
    </w:rPr>
  </w:style>
  <w:style w:type="paragraph" w:styleId="TOC3">
    <w:name w:val="toc 3"/>
    <w:hidden/>
    <w:pPr>
      <w:spacing w:after="100"/>
      <w:ind w:left="231" w:right="443"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humanitarianresponse.info/en/operations/cameroon/document/cameroon-south-west-region-gbv-rapid-assessment-%E2%80%93-key-findings-january" TargetMode="External"/><Relationship Id="rId21" Type="http://schemas.openxmlformats.org/officeDocument/2006/relationships/hyperlink" Target="https://reproductiverights.org/es/report-highlights-lack-of-access-to-srhr-information-in-kenya/" TargetMode="External"/><Relationship Id="rId42" Type="http://schemas.openxmlformats.org/officeDocument/2006/relationships/hyperlink" Target="https://doi.org/10.1177/0018726715577707" TargetMode="External"/><Relationship Id="rId63" Type="http://schemas.openxmlformats.org/officeDocument/2006/relationships/hyperlink" Target="https://reliefweb.int/report/cameroon/needs-assessment-report-south-west-region-cameroon-july-2018" TargetMode="External"/><Relationship Id="rId84" Type="http://schemas.openxmlformats.org/officeDocument/2006/relationships/hyperlink" Target="https://reliefweb.int/report/cameroon/cameroon-unhcr-buea-idp-response-operational-update-north-west-and-south-west-10" TargetMode="External"/><Relationship Id="rId138" Type="http://schemas.openxmlformats.org/officeDocument/2006/relationships/hyperlink" Target="https://reliefweb.int/report/cameroon/cameroon-humanitarian-snapshot-north-west-and-south-west-regions-april-2020" TargetMode="External"/><Relationship Id="rId159" Type="http://schemas.openxmlformats.org/officeDocument/2006/relationships/hyperlink" Target="https://reliefweb.int/report/cameroon/cameroon-humanitarian-bulletin-issue-n-27-november-2021" TargetMode="External"/><Relationship Id="rId170" Type="http://schemas.openxmlformats.org/officeDocument/2006/relationships/hyperlink" Target="https://www.who.int/news/item/09-03-2021-devastatingly-pervasive-1-in-3-women-globally-experience-violence" TargetMode="External"/><Relationship Id="rId191" Type="http://schemas.openxmlformats.org/officeDocument/2006/relationships/hyperlink" Target="https://www.who.int/news/item/09-03-2021-devastatingly-pervasive-1-in-3-women-globally-experience-violence" TargetMode="External"/><Relationship Id="rId205" Type="http://schemas.openxmlformats.org/officeDocument/2006/relationships/image" Target="media/image13.jpg"/><Relationship Id="rId107" Type="http://schemas.openxmlformats.org/officeDocument/2006/relationships/hyperlink" Target="https://www.humanitarianresponse.info/en/operations/cameroon/document/cameroon-south-west-region-gbv-rapid-assessment-%E2%80%93-key-findings-january" TargetMode="External"/><Relationship Id="rId11" Type="http://schemas.openxmlformats.org/officeDocument/2006/relationships/hyperlink" Target="http://www.bucrep.cm/index.php/fr/ressources-et-documentations/telechargement/category/60-rnep-2014" TargetMode="External"/><Relationship Id="rId32" Type="http://schemas.openxmlformats.org/officeDocument/2006/relationships/hyperlink" Target="https://reproductiverights.org/es/report-highlights-lack-of-access-to-srhr-information-in-kenya/" TargetMode="External"/><Relationship Id="rId53" Type="http://schemas.openxmlformats.org/officeDocument/2006/relationships/hyperlink" Target="https://reliefweb.int/report/cameroon/needs-assessment-report-south-west-region-cameroon-july-2018" TargetMode="External"/><Relationship Id="rId74" Type="http://schemas.openxmlformats.org/officeDocument/2006/relationships/hyperlink" Target="https://reliefweb.int/report/cameroon/cameroon-unhcr-buea-idp-response-operational-update-north-west-and-south-west-10" TargetMode="External"/><Relationship Id="rId128" Type="http://schemas.openxmlformats.org/officeDocument/2006/relationships/hyperlink" Target="https://reliefweb.int/report/cameroon/cameroon-humanitarian-snapshot-north-west-and-south-west-regions-april-2020" TargetMode="External"/><Relationship Id="rId149" Type="http://schemas.openxmlformats.org/officeDocument/2006/relationships/hyperlink" Target="https://reliefweb.int/report/cameroon/cameroon-humanitarian-bulletin-issue-n-27-november-2021" TargetMode="External"/><Relationship Id="rId5" Type="http://schemas.openxmlformats.org/officeDocument/2006/relationships/footnotes" Target="footnotes.xml"/><Relationship Id="rId95" Type="http://schemas.openxmlformats.org/officeDocument/2006/relationships/hyperlink" Target="https://reliefweb.int/report/cameroon/cameroon-unhcr-buea-idp-response-operational-update-north-west-and-south-west-10" TargetMode="External"/><Relationship Id="rId160" Type="http://schemas.openxmlformats.org/officeDocument/2006/relationships/hyperlink" Target="https://www.who.int/news-room/fact-sheets/detail/violence-against-women" TargetMode="External"/><Relationship Id="rId181" Type="http://schemas.openxmlformats.org/officeDocument/2006/relationships/hyperlink" Target="https://www.who.int/news/item/09-03-2021-devastatingly-pervasive-1-in-3-women-globally-experience-violence" TargetMode="External"/><Relationship Id="rId22" Type="http://schemas.openxmlformats.org/officeDocument/2006/relationships/hyperlink" Target="https://reproductiverights.org/es/report-highlights-lack-of-access-to-srhr-information-in-kenya/" TargetMode="External"/><Relationship Id="rId43" Type="http://schemas.openxmlformats.org/officeDocument/2006/relationships/hyperlink" Target="https://doi.org/10.1177/0018726715577707" TargetMode="External"/><Relationship Id="rId64" Type="http://schemas.openxmlformats.org/officeDocument/2006/relationships/hyperlink" Target="https://reliefweb.int/report/cameroon/needs-assessment-report-south-west-region-cameroon-july-2018" TargetMode="External"/><Relationship Id="rId118" Type="http://schemas.openxmlformats.org/officeDocument/2006/relationships/hyperlink" Target="https://www.humanitarianresponse.info/en/operations/cameroon/document/cameroon-south-west-region-gbv-rapid-assessment-%E2%80%93-key-findings-january" TargetMode="External"/><Relationship Id="rId139" Type="http://schemas.openxmlformats.org/officeDocument/2006/relationships/hyperlink" Target="https://reliefweb.int/report/cameroon/cameroon-humanitarian-snapshot-north-west-and-south-west-regions-april-2020" TargetMode="External"/><Relationship Id="rId85" Type="http://schemas.openxmlformats.org/officeDocument/2006/relationships/hyperlink" Target="https://reliefweb.int/report/cameroon/cameroon-unhcr-buea-idp-response-operational-update-north-west-and-south-west-10" TargetMode="External"/><Relationship Id="rId150" Type="http://schemas.openxmlformats.org/officeDocument/2006/relationships/hyperlink" Target="https://reliefweb.int/report/cameroon/cameroon-humanitarian-bulletin-issue-n-27-november-2021" TargetMode="External"/><Relationship Id="rId171" Type="http://schemas.openxmlformats.org/officeDocument/2006/relationships/hyperlink" Target="https://www.who.int/news/item/09-03-2021-devastatingly-pervasive-1-in-3-women-globally-experience-violence" TargetMode="External"/><Relationship Id="rId192" Type="http://schemas.openxmlformats.org/officeDocument/2006/relationships/hyperlink" Target="https://www.who.int/news/item/09-03-2021-devastatingly-pervasive-1-in-3-women-globally-experience-violence" TargetMode="External"/><Relationship Id="rId206" Type="http://schemas.openxmlformats.org/officeDocument/2006/relationships/image" Target="media/image14.jpg"/><Relationship Id="rId12" Type="http://schemas.openxmlformats.org/officeDocument/2006/relationships/hyperlink" Target="http://www.bucrep.cm/index.php/fr/ressources-et-documentations/telechargement/category/60-rnep-2014" TargetMode="External"/><Relationship Id="rId33" Type="http://schemas.openxmlformats.org/officeDocument/2006/relationships/hyperlink" Target="https://reproductiverights.org/es/report-highlights-lack-of-access-to-srhr-information-in-kenya/" TargetMode="External"/><Relationship Id="rId108" Type="http://schemas.openxmlformats.org/officeDocument/2006/relationships/hyperlink" Target="https://www.humanitarianresponse.info/en/operations/cameroon/document/cameroon-south-west-region-gbv-rapid-assessment-%E2%80%93-key-findings-january" TargetMode="External"/><Relationship Id="rId129" Type="http://schemas.openxmlformats.org/officeDocument/2006/relationships/hyperlink" Target="https://reliefweb.int/report/cameroon/cameroon-humanitarian-snapshot-north-west-and-south-west-regions-april-2020" TargetMode="External"/><Relationship Id="rId54" Type="http://schemas.openxmlformats.org/officeDocument/2006/relationships/hyperlink" Target="https://reliefweb.int/report/cameroon/needs-assessment-report-south-west-region-cameroon-july-2018" TargetMode="External"/><Relationship Id="rId75" Type="http://schemas.openxmlformats.org/officeDocument/2006/relationships/hyperlink" Target="https://reliefweb.int/report/cameroon/cameroon-unhcr-buea-idp-response-operational-update-north-west-and-south-west-10" TargetMode="External"/><Relationship Id="rId96" Type="http://schemas.openxmlformats.org/officeDocument/2006/relationships/hyperlink" Target="https://reliefweb.int/report/cameroon/cameroon-unhcr-buea-idp-response-operational-update-north-west-and-south-west-10" TargetMode="External"/><Relationship Id="rId140" Type="http://schemas.openxmlformats.org/officeDocument/2006/relationships/hyperlink" Target="https://reliefweb.int/report/cameroon/cameroon-humanitarian-snapshot-north-west-and-south-west-regions-april-2020" TargetMode="External"/><Relationship Id="rId161" Type="http://schemas.openxmlformats.org/officeDocument/2006/relationships/hyperlink" Target="https://www.who.int/news-room/fact-sheets/detail/violence-against-women" TargetMode="External"/><Relationship Id="rId182" Type="http://schemas.openxmlformats.org/officeDocument/2006/relationships/hyperlink" Target="https://www.who.int/news/item/09-03-2021-devastatingly-pervasive-1-in-3-women-globally-experience-violence" TargetMode="External"/><Relationship Id="rId6" Type="http://schemas.openxmlformats.org/officeDocument/2006/relationships/endnotes" Target="endnotes.xml"/><Relationship Id="rId23" Type="http://schemas.openxmlformats.org/officeDocument/2006/relationships/hyperlink" Target="https://reproductiverights.org/es/report-highlights-lack-of-access-to-srhr-information-in-kenya/" TargetMode="External"/><Relationship Id="rId119" Type="http://schemas.openxmlformats.org/officeDocument/2006/relationships/hyperlink" Target="https://www.humanitarianresponse.info/en/operations/cameroon/document/cameroon-south-west-region-gbv-rapid-assessment-%E2%80%93-key-findings-january" TargetMode="External"/><Relationship Id="rId44" Type="http://schemas.openxmlformats.org/officeDocument/2006/relationships/hyperlink" Target="https://www.globalcitizen.org/en/content/what-is-srhr/" TargetMode="External"/><Relationship Id="rId65" Type="http://schemas.openxmlformats.org/officeDocument/2006/relationships/hyperlink" Target="https://reliefweb.int/report/cameroon/needs-assessment-report-south-west-region-cameroon-july-2018" TargetMode="External"/><Relationship Id="rId86" Type="http://schemas.openxmlformats.org/officeDocument/2006/relationships/hyperlink" Target="https://reliefweb.int/report/cameroon/cameroon-unhcr-buea-idp-response-operational-update-north-west-and-south-west-10" TargetMode="External"/><Relationship Id="rId130" Type="http://schemas.openxmlformats.org/officeDocument/2006/relationships/hyperlink" Target="https://reliefweb.int/report/cameroon/cameroon-humanitarian-snapshot-north-west-and-south-west-regions-april-2020" TargetMode="External"/><Relationship Id="rId151" Type="http://schemas.openxmlformats.org/officeDocument/2006/relationships/hyperlink" Target="https://reliefweb.int/report/cameroon/cameroon-humanitarian-bulletin-issue-n-27-november-2021" TargetMode="External"/><Relationship Id="rId172" Type="http://schemas.openxmlformats.org/officeDocument/2006/relationships/hyperlink" Target="https://www.who.int/news/item/09-03-2021-devastatingly-pervasive-1-in-3-women-globally-experience-violence" TargetMode="External"/><Relationship Id="rId193" Type="http://schemas.openxmlformats.org/officeDocument/2006/relationships/hyperlink" Target="https://www.who.int/news/item/09-03-2021-devastatingly-pervasive-1-in-3-women-globally-experience-violence" TargetMode="External"/><Relationship Id="rId207" Type="http://schemas.openxmlformats.org/officeDocument/2006/relationships/footer" Target="footer1.xml"/><Relationship Id="rId13" Type="http://schemas.openxmlformats.org/officeDocument/2006/relationships/hyperlink" Target="http://www.bucrep.cm/index.php/fr/ressources-et-documentations/telechargement/category/60-rnep-2014" TargetMode="External"/><Relationship Id="rId109" Type="http://schemas.openxmlformats.org/officeDocument/2006/relationships/hyperlink" Target="https://www.humanitarianresponse.info/en/operations/cameroon/document/cameroon-south-west-region-gbv-rapid-assessment-%E2%80%93-key-findings-january" TargetMode="External"/><Relationship Id="rId34" Type="http://schemas.openxmlformats.org/officeDocument/2006/relationships/hyperlink" Target="https://reproductiverights.org/es/report-highlights-lack-of-access-to-srhr-information-in-kenya/" TargetMode="External"/><Relationship Id="rId55" Type="http://schemas.openxmlformats.org/officeDocument/2006/relationships/hyperlink" Target="https://reliefweb.int/report/cameroon/needs-assessment-report-south-west-region-cameroon-july-2018" TargetMode="External"/><Relationship Id="rId76" Type="http://schemas.openxmlformats.org/officeDocument/2006/relationships/hyperlink" Target="https://reliefweb.int/report/cameroon/cameroon-unhcr-buea-idp-response-operational-update-north-west-and-south-west-10" TargetMode="External"/><Relationship Id="rId97" Type="http://schemas.openxmlformats.org/officeDocument/2006/relationships/hyperlink" Target="https://reliefweb.int/report/cameroon/cameroon-unhcr-buea-idp-response-operational-update-north-west-and-south-west-10" TargetMode="External"/><Relationship Id="rId120" Type="http://schemas.openxmlformats.org/officeDocument/2006/relationships/hyperlink" Target="https://www.humanitarianresponse.info/en/operations/cameroon/document/cameroon-south-west-region-gbv-rapid-assessment-%E2%80%93-key-findings-january" TargetMode="External"/><Relationship Id="rId141" Type="http://schemas.openxmlformats.org/officeDocument/2006/relationships/hyperlink" Target="https://reliefweb.int/report/cameroon/cameroon-humanitarian-snapshot-north-west-and-south-west-regions-april-2020" TargetMode="External"/><Relationship Id="rId7" Type="http://schemas.openxmlformats.org/officeDocument/2006/relationships/image" Target="media/image1.png"/><Relationship Id="rId162" Type="http://schemas.openxmlformats.org/officeDocument/2006/relationships/hyperlink" Target="https://www.who.int/news-room/fact-sheets/detail/violence-against-women" TargetMode="External"/><Relationship Id="rId183" Type="http://schemas.openxmlformats.org/officeDocument/2006/relationships/hyperlink" Target="https://www.who.int/news/item/09-03-2021-devastatingly-pervasive-1-in-3-women-globally-experience-violence" TargetMode="External"/><Relationship Id="rId24" Type="http://schemas.openxmlformats.org/officeDocument/2006/relationships/hyperlink" Target="https://reproductiverights.org/es/report-highlights-lack-of-access-to-srhr-information-in-kenya/" TargetMode="External"/><Relationship Id="rId45" Type="http://schemas.openxmlformats.org/officeDocument/2006/relationships/hyperlink" Target="https://www.globalcitizen.org/en/content/what-is-srhr/" TargetMode="External"/><Relationship Id="rId66" Type="http://schemas.openxmlformats.org/officeDocument/2006/relationships/hyperlink" Target="https://reliefweb.int/report/cameroon/needs-assessment-report-south-west-region-cameroon-july-2018" TargetMode="External"/><Relationship Id="rId87" Type="http://schemas.openxmlformats.org/officeDocument/2006/relationships/hyperlink" Target="https://reliefweb.int/report/cameroon/cameroon-unhcr-buea-idp-response-operational-update-north-west-and-south-west-10" TargetMode="External"/><Relationship Id="rId110" Type="http://schemas.openxmlformats.org/officeDocument/2006/relationships/hyperlink" Target="https://www.humanitarianresponse.info/en/operations/cameroon/document/cameroon-south-west-region-gbv-rapid-assessment-%E2%80%93-key-findings-january" TargetMode="External"/><Relationship Id="rId131" Type="http://schemas.openxmlformats.org/officeDocument/2006/relationships/hyperlink" Target="https://reliefweb.int/report/cameroon/cameroon-humanitarian-snapshot-north-west-and-south-west-regions-april-2020" TargetMode="External"/><Relationship Id="rId61" Type="http://schemas.openxmlformats.org/officeDocument/2006/relationships/hyperlink" Target="https://reliefweb.int/report/cameroon/needs-assessment-report-south-west-region-cameroon-july-2018" TargetMode="External"/><Relationship Id="rId82" Type="http://schemas.openxmlformats.org/officeDocument/2006/relationships/hyperlink" Target="https://reliefweb.int/report/cameroon/cameroon-unhcr-buea-idp-response-operational-update-north-west-and-south-west-10" TargetMode="External"/><Relationship Id="rId152" Type="http://schemas.openxmlformats.org/officeDocument/2006/relationships/hyperlink" Target="https://reliefweb.int/report/cameroon/cameroon-humanitarian-bulletin-issue-n-27-november-2021" TargetMode="External"/><Relationship Id="rId173" Type="http://schemas.openxmlformats.org/officeDocument/2006/relationships/hyperlink" Target="https://www.who.int/news/item/09-03-2021-devastatingly-pervasive-1-in-3-women-globally-experience-violence" TargetMode="External"/><Relationship Id="rId194" Type="http://schemas.openxmlformats.org/officeDocument/2006/relationships/hyperlink" Target="https://www.who.int/news/item/09-03-2021-devastatingly-pervasive-1-in-3-women-globally-experience-violence" TargetMode="External"/><Relationship Id="rId199" Type="http://schemas.openxmlformats.org/officeDocument/2006/relationships/image" Target="media/image7.jpg"/><Relationship Id="rId203" Type="http://schemas.openxmlformats.org/officeDocument/2006/relationships/image" Target="media/image11.jpg"/><Relationship Id="rId208" Type="http://schemas.openxmlformats.org/officeDocument/2006/relationships/footer" Target="footer2.xml"/><Relationship Id="rId19" Type="http://schemas.openxmlformats.org/officeDocument/2006/relationships/hyperlink" Target="http://www.bucrep.cm/index.php/fr/ressources-et-documentations/telechargement/category/60-rnep-2014" TargetMode="External"/><Relationship Id="rId14" Type="http://schemas.openxmlformats.org/officeDocument/2006/relationships/hyperlink" Target="http://www.bucrep.cm/index.php/fr/ressources-et-documentations/telechargement/category/60-rnep-2014" TargetMode="External"/><Relationship Id="rId30" Type="http://schemas.openxmlformats.org/officeDocument/2006/relationships/hyperlink" Target="https://reproductiverights.org/es/report-highlights-lack-of-access-to-srhr-information-in-kenya/" TargetMode="External"/><Relationship Id="rId35" Type="http://schemas.openxmlformats.org/officeDocument/2006/relationships/hyperlink" Target="https://reproductiverights.org/es/report-highlights-lack-of-access-to-srhr-information-in-kenya/" TargetMode="External"/><Relationship Id="rId56" Type="http://schemas.openxmlformats.org/officeDocument/2006/relationships/hyperlink" Target="https://reliefweb.int/report/cameroon/needs-assessment-report-south-west-region-cameroon-july-2018" TargetMode="External"/><Relationship Id="rId77" Type="http://schemas.openxmlformats.org/officeDocument/2006/relationships/hyperlink" Target="https://reliefweb.int/report/cameroon/cameroon-unhcr-buea-idp-response-operational-update-north-west-and-south-west-10" TargetMode="External"/><Relationship Id="rId100" Type="http://schemas.openxmlformats.org/officeDocument/2006/relationships/hyperlink" Target="https://www.humanitarianresponse.info/en/operations/cameroon/document/cameroon-south-west-region-gbv-rapid-assessment-%E2%80%93-key-findings-january" TargetMode="External"/><Relationship Id="rId105" Type="http://schemas.openxmlformats.org/officeDocument/2006/relationships/hyperlink" Target="https://www.humanitarianresponse.info/en/operations/cameroon/document/cameroon-south-west-region-gbv-rapid-assessment-%E2%80%93-key-findings-january" TargetMode="External"/><Relationship Id="rId126" Type="http://schemas.openxmlformats.org/officeDocument/2006/relationships/hyperlink" Target="https://reliefweb.int/report/cameroon/cameroon-humanitarian-snapshot-north-west-and-south-west-regions-april-2020" TargetMode="External"/><Relationship Id="rId147" Type="http://schemas.openxmlformats.org/officeDocument/2006/relationships/hyperlink" Target="https://reliefweb.int/report/cameroon/cameroon-humanitarian-bulletin-issue-n-27-november-2021" TargetMode="External"/><Relationship Id="rId168" Type="http://schemas.openxmlformats.org/officeDocument/2006/relationships/hyperlink" Target="https://www.who.int/news-room/fact-sheets/detail/violence-against-women" TargetMode="External"/><Relationship Id="rId8" Type="http://schemas.openxmlformats.org/officeDocument/2006/relationships/image" Target="media/image2.jpg"/><Relationship Id="rId51" Type="http://schemas.openxmlformats.org/officeDocument/2006/relationships/hyperlink" Target="https://reliefweb.int/report/cameroon/needs-assessment-report-south-west-region-cameroon-july-2018" TargetMode="External"/><Relationship Id="rId72" Type="http://schemas.openxmlformats.org/officeDocument/2006/relationships/hyperlink" Target="https://doi.org/10.1177/2277975220975513" TargetMode="External"/><Relationship Id="rId93" Type="http://schemas.openxmlformats.org/officeDocument/2006/relationships/hyperlink" Target="https://reliefweb.int/report/cameroon/cameroon-unhcr-buea-idp-response-operational-update-north-west-and-south-west-10" TargetMode="External"/><Relationship Id="rId98" Type="http://schemas.openxmlformats.org/officeDocument/2006/relationships/hyperlink" Target="https://reliefweb.int/report/cameroon/cameroon-unhcr-buea-idp-response-operational-update-north-west-and-south-west-10" TargetMode="External"/><Relationship Id="rId121" Type="http://schemas.openxmlformats.org/officeDocument/2006/relationships/hyperlink" Target="https://www.humanitarianresponse.info/en/operations/cameroon/document/cameroon-south-west-region-gbv-rapid-assessment-%E2%80%93-key-findings-january" TargetMode="External"/><Relationship Id="rId142" Type="http://schemas.openxmlformats.org/officeDocument/2006/relationships/hyperlink" Target="https://reliefweb.int/report/cameroon/cameroon-humanitarian-snapshot-north-west-and-south-west-regions-april-2020" TargetMode="External"/><Relationship Id="rId163" Type="http://schemas.openxmlformats.org/officeDocument/2006/relationships/hyperlink" Target="https://www.who.int/news-room/fact-sheets/detail/violence-against-women" TargetMode="External"/><Relationship Id="rId184" Type="http://schemas.openxmlformats.org/officeDocument/2006/relationships/hyperlink" Target="https://www.who.int/news/item/09-03-2021-devastatingly-pervasive-1-in-3-women-globally-experience-violence" TargetMode="External"/><Relationship Id="rId189" Type="http://schemas.openxmlformats.org/officeDocument/2006/relationships/hyperlink" Target="https://www.who.int/news/item/09-03-2021-devastatingly-pervasive-1-in-3-women-globally-experience-violence" TargetMode="External"/><Relationship Id="rId3" Type="http://schemas.openxmlformats.org/officeDocument/2006/relationships/settings" Target="settings.xml"/><Relationship Id="rId25" Type="http://schemas.openxmlformats.org/officeDocument/2006/relationships/hyperlink" Target="https://reproductiverights.org/es/report-highlights-lack-of-access-to-srhr-information-in-kenya/" TargetMode="External"/><Relationship Id="rId46" Type="http://schemas.openxmlformats.org/officeDocument/2006/relationships/hyperlink" Target="https://www.globalcitizen.org/en/content/what-is-srhr/" TargetMode="External"/><Relationship Id="rId67" Type="http://schemas.openxmlformats.org/officeDocument/2006/relationships/hyperlink" Target="https://reliefweb.int/report/cameroon/needs-assessment-report-south-west-region-cameroon-july-2018" TargetMode="External"/><Relationship Id="rId116" Type="http://schemas.openxmlformats.org/officeDocument/2006/relationships/hyperlink" Target="https://www.humanitarianresponse.info/en/operations/cameroon/document/cameroon-south-west-region-gbv-rapid-assessment-%E2%80%93-key-findings-january" TargetMode="External"/><Relationship Id="rId137" Type="http://schemas.openxmlformats.org/officeDocument/2006/relationships/hyperlink" Target="https://reliefweb.int/report/cameroon/cameroon-humanitarian-snapshot-north-west-and-south-west-regions-april-2020" TargetMode="External"/><Relationship Id="rId158" Type="http://schemas.openxmlformats.org/officeDocument/2006/relationships/hyperlink" Target="https://reliefweb.int/report/cameroon/cameroon-humanitarian-bulletin-issue-n-27-november-2021" TargetMode="External"/><Relationship Id="rId20" Type="http://schemas.openxmlformats.org/officeDocument/2006/relationships/hyperlink" Target="http://www.bucrep.cm/index.php/fr/ressources-et-documentations/telechargement/category/60-rnep-2014" TargetMode="External"/><Relationship Id="rId41" Type="http://schemas.openxmlformats.org/officeDocument/2006/relationships/hyperlink" Target="https://doi.org/10.1177/0018726715577707" TargetMode="External"/><Relationship Id="rId62" Type="http://schemas.openxmlformats.org/officeDocument/2006/relationships/hyperlink" Target="https://reliefweb.int/report/cameroon/needs-assessment-report-south-west-region-cameroon-july-2018" TargetMode="External"/><Relationship Id="rId83" Type="http://schemas.openxmlformats.org/officeDocument/2006/relationships/hyperlink" Target="https://reliefweb.int/report/cameroon/cameroon-unhcr-buea-idp-response-operational-update-north-west-and-south-west-10" TargetMode="External"/><Relationship Id="rId88" Type="http://schemas.openxmlformats.org/officeDocument/2006/relationships/hyperlink" Target="https://reliefweb.int/report/cameroon/cameroon-unhcr-buea-idp-response-operational-update-north-west-and-south-west-10" TargetMode="External"/><Relationship Id="rId111" Type="http://schemas.openxmlformats.org/officeDocument/2006/relationships/hyperlink" Target="https://www.humanitarianresponse.info/en/operations/cameroon/document/cameroon-south-west-region-gbv-rapid-assessment-%E2%80%93-key-findings-january" TargetMode="External"/><Relationship Id="rId132" Type="http://schemas.openxmlformats.org/officeDocument/2006/relationships/hyperlink" Target="https://reliefweb.int/report/cameroon/cameroon-humanitarian-snapshot-north-west-and-south-west-regions-april-2020" TargetMode="External"/><Relationship Id="rId153" Type="http://schemas.openxmlformats.org/officeDocument/2006/relationships/hyperlink" Target="https://reliefweb.int/report/cameroon/cameroon-humanitarian-bulletin-issue-n-27-november-2021" TargetMode="External"/><Relationship Id="rId174" Type="http://schemas.openxmlformats.org/officeDocument/2006/relationships/hyperlink" Target="https://www.who.int/news/item/09-03-2021-devastatingly-pervasive-1-in-3-women-globally-experience-violence" TargetMode="External"/><Relationship Id="rId179" Type="http://schemas.openxmlformats.org/officeDocument/2006/relationships/hyperlink" Target="https://www.who.int/news/item/09-03-2021-devastatingly-pervasive-1-in-3-women-globally-experience-violence" TargetMode="External"/><Relationship Id="rId195" Type="http://schemas.openxmlformats.org/officeDocument/2006/relationships/image" Target="media/image3.jpg"/><Relationship Id="rId209" Type="http://schemas.openxmlformats.org/officeDocument/2006/relationships/footer" Target="footer3.xml"/><Relationship Id="rId190" Type="http://schemas.openxmlformats.org/officeDocument/2006/relationships/hyperlink" Target="https://www.who.int/news/item/09-03-2021-devastatingly-pervasive-1-in-3-women-globally-experience-violence" TargetMode="External"/><Relationship Id="rId204" Type="http://schemas.openxmlformats.org/officeDocument/2006/relationships/image" Target="media/image12.jpg"/><Relationship Id="rId15" Type="http://schemas.openxmlformats.org/officeDocument/2006/relationships/hyperlink" Target="http://www.bucrep.cm/index.php/fr/ressources-et-documentations/telechargement/category/60-rnep-2014" TargetMode="External"/><Relationship Id="rId36" Type="http://schemas.openxmlformats.org/officeDocument/2006/relationships/hyperlink" Target="https://reproductiverights.org/es/report-highlights-lack-of-access-to-srhr-information-in-kenya/" TargetMode="External"/><Relationship Id="rId57" Type="http://schemas.openxmlformats.org/officeDocument/2006/relationships/hyperlink" Target="https://reliefweb.int/report/cameroon/needs-assessment-report-south-west-region-cameroon-july-2018" TargetMode="External"/><Relationship Id="rId106" Type="http://schemas.openxmlformats.org/officeDocument/2006/relationships/hyperlink" Target="https://www.humanitarianresponse.info/en/operations/cameroon/document/cameroon-south-west-region-gbv-rapid-assessment-%E2%80%93-key-findings-january" TargetMode="External"/><Relationship Id="rId127" Type="http://schemas.openxmlformats.org/officeDocument/2006/relationships/hyperlink" Target="https://reliefweb.int/report/cameroon/cameroon-humanitarian-snapshot-north-west-and-south-west-regions-april-2020" TargetMode="External"/><Relationship Id="rId10" Type="http://schemas.openxmlformats.org/officeDocument/2006/relationships/image" Target="media/image1.jpg"/><Relationship Id="rId31" Type="http://schemas.openxmlformats.org/officeDocument/2006/relationships/hyperlink" Target="https://reproductiverights.org/es/report-highlights-lack-of-access-to-srhr-information-in-kenya/" TargetMode="External"/><Relationship Id="rId52" Type="http://schemas.openxmlformats.org/officeDocument/2006/relationships/hyperlink" Target="https://reliefweb.int/report/cameroon/needs-assessment-report-south-west-region-cameroon-july-2018" TargetMode="External"/><Relationship Id="rId73" Type="http://schemas.openxmlformats.org/officeDocument/2006/relationships/hyperlink" Target="https://doi.org/10.1177/2277975220975513" TargetMode="External"/><Relationship Id="rId78" Type="http://schemas.openxmlformats.org/officeDocument/2006/relationships/hyperlink" Target="https://reliefweb.int/report/cameroon/cameroon-unhcr-buea-idp-response-operational-update-north-west-and-south-west-10" TargetMode="External"/><Relationship Id="rId94" Type="http://schemas.openxmlformats.org/officeDocument/2006/relationships/hyperlink" Target="https://reliefweb.int/report/cameroon/cameroon-unhcr-buea-idp-response-operational-update-north-west-and-south-west-10" TargetMode="External"/><Relationship Id="rId99" Type="http://schemas.openxmlformats.org/officeDocument/2006/relationships/hyperlink" Target="https://reliefweb.int/report/cameroon/cameroon-unhcr-buea-idp-response-operational-update-north-west-and-south-west-10" TargetMode="External"/><Relationship Id="rId101" Type="http://schemas.openxmlformats.org/officeDocument/2006/relationships/hyperlink" Target="https://www.humanitarianresponse.info/en/operations/cameroon/document/cameroon-south-west-region-gbv-rapid-assessment-%E2%80%93-key-findings-january" TargetMode="External"/><Relationship Id="rId122" Type="http://schemas.openxmlformats.org/officeDocument/2006/relationships/hyperlink" Target="https://reliefweb.int/report/cameroon/cameroon-humanitarian-snapshot-north-west-and-south-west-regions-april-2020" TargetMode="External"/><Relationship Id="rId143" Type="http://schemas.openxmlformats.org/officeDocument/2006/relationships/hyperlink" Target="https://reliefweb.int/report/cameroon/cameroon-humanitarian-snapshot-north-west-and-south-west-regions-april-2020" TargetMode="External"/><Relationship Id="rId148" Type="http://schemas.openxmlformats.org/officeDocument/2006/relationships/hyperlink" Target="https://reliefweb.int/report/cameroon/cameroon-humanitarian-bulletin-issue-n-27-november-2021" TargetMode="External"/><Relationship Id="rId164" Type="http://schemas.openxmlformats.org/officeDocument/2006/relationships/hyperlink" Target="https://www.who.int/news-room/fact-sheets/detail/violence-against-women" TargetMode="External"/><Relationship Id="rId169" Type="http://schemas.openxmlformats.org/officeDocument/2006/relationships/hyperlink" Target="https://www.who.int/news-room/fact-sheets/detail/violence-against-women" TargetMode="External"/><Relationship Id="rId185" Type="http://schemas.openxmlformats.org/officeDocument/2006/relationships/hyperlink" Target="https://www.who.int/news/item/09-03-2021-devastatingly-pervasive-1-in-3-women-globally-experience-violence" TargetMode="External"/><Relationship Id="rId4" Type="http://schemas.openxmlformats.org/officeDocument/2006/relationships/webSettings" Target="webSettings.xml"/><Relationship Id="rId9" Type="http://schemas.openxmlformats.org/officeDocument/2006/relationships/image" Target="media/image0.png"/><Relationship Id="rId180" Type="http://schemas.openxmlformats.org/officeDocument/2006/relationships/hyperlink" Target="https://www.who.int/news/item/09-03-2021-devastatingly-pervasive-1-in-3-women-globally-experience-violence" TargetMode="External"/><Relationship Id="rId210" Type="http://schemas.openxmlformats.org/officeDocument/2006/relationships/fontTable" Target="fontTable.xml"/><Relationship Id="rId26" Type="http://schemas.openxmlformats.org/officeDocument/2006/relationships/hyperlink" Target="https://reproductiverights.org/es/report-highlights-lack-of-access-to-srhr-information-in-kenya/" TargetMode="External"/><Relationship Id="rId47" Type="http://schemas.openxmlformats.org/officeDocument/2006/relationships/hyperlink" Target="https://www.globalcitizen.org/en/content/what-is-srhr/" TargetMode="External"/><Relationship Id="rId68" Type="http://schemas.openxmlformats.org/officeDocument/2006/relationships/hyperlink" Target="https://doi.org/10.1002/job.2654" TargetMode="External"/><Relationship Id="rId89" Type="http://schemas.openxmlformats.org/officeDocument/2006/relationships/hyperlink" Target="https://reliefweb.int/report/cameroon/cameroon-unhcr-buea-idp-response-operational-update-north-west-and-south-west-10" TargetMode="External"/><Relationship Id="rId112" Type="http://schemas.openxmlformats.org/officeDocument/2006/relationships/hyperlink" Target="https://www.humanitarianresponse.info/en/operations/cameroon/document/cameroon-south-west-region-gbv-rapid-assessment-%E2%80%93-key-findings-january" TargetMode="External"/><Relationship Id="rId133" Type="http://schemas.openxmlformats.org/officeDocument/2006/relationships/hyperlink" Target="https://reliefweb.int/report/cameroon/cameroon-humanitarian-snapshot-north-west-and-south-west-regions-april-2020" TargetMode="External"/><Relationship Id="rId154" Type="http://schemas.openxmlformats.org/officeDocument/2006/relationships/hyperlink" Target="https://reliefweb.int/report/cameroon/cameroon-humanitarian-bulletin-issue-n-27-november-2021" TargetMode="External"/><Relationship Id="rId175" Type="http://schemas.openxmlformats.org/officeDocument/2006/relationships/hyperlink" Target="https://www.who.int/news/item/09-03-2021-devastatingly-pervasive-1-in-3-women-globally-experience-violence" TargetMode="External"/><Relationship Id="rId196" Type="http://schemas.openxmlformats.org/officeDocument/2006/relationships/image" Target="media/image4.jpg"/><Relationship Id="rId200" Type="http://schemas.openxmlformats.org/officeDocument/2006/relationships/image" Target="media/image8.jpg"/><Relationship Id="rId16" Type="http://schemas.openxmlformats.org/officeDocument/2006/relationships/hyperlink" Target="http://www.bucrep.cm/index.php/fr/ressources-et-documentations/telechargement/category/60-rnep-2014" TargetMode="External"/><Relationship Id="rId37" Type="http://schemas.openxmlformats.org/officeDocument/2006/relationships/hyperlink" Target="https://reproductiverights.org/es/report-highlights-lack-of-access-to-srhr-information-in-kenya/" TargetMode="External"/><Relationship Id="rId58" Type="http://schemas.openxmlformats.org/officeDocument/2006/relationships/hyperlink" Target="https://reliefweb.int/report/cameroon/needs-assessment-report-south-west-region-cameroon-july-2018" TargetMode="External"/><Relationship Id="rId79" Type="http://schemas.openxmlformats.org/officeDocument/2006/relationships/hyperlink" Target="https://reliefweb.int/report/cameroon/cameroon-unhcr-buea-idp-response-operational-update-north-west-and-south-west-10" TargetMode="External"/><Relationship Id="rId102" Type="http://schemas.openxmlformats.org/officeDocument/2006/relationships/hyperlink" Target="https://www.humanitarianresponse.info/en/operations/cameroon/document/cameroon-south-west-region-gbv-rapid-assessment-%E2%80%93-key-findings-january" TargetMode="External"/><Relationship Id="rId123" Type="http://schemas.openxmlformats.org/officeDocument/2006/relationships/hyperlink" Target="https://reliefweb.int/report/cameroon/cameroon-humanitarian-snapshot-north-west-and-south-west-regions-april-2020" TargetMode="External"/><Relationship Id="rId144" Type="http://schemas.openxmlformats.org/officeDocument/2006/relationships/hyperlink" Target="https://reliefweb.int/report/cameroon/cameroon-humanitarian-bulletin-issue-n-27-november-2021" TargetMode="External"/><Relationship Id="rId90" Type="http://schemas.openxmlformats.org/officeDocument/2006/relationships/hyperlink" Target="https://reliefweb.int/report/cameroon/cameroon-unhcr-buea-idp-response-operational-update-north-west-and-south-west-10" TargetMode="External"/><Relationship Id="rId165" Type="http://schemas.openxmlformats.org/officeDocument/2006/relationships/hyperlink" Target="https://www.who.int/news-room/fact-sheets/detail/violence-against-women" TargetMode="External"/><Relationship Id="rId186" Type="http://schemas.openxmlformats.org/officeDocument/2006/relationships/hyperlink" Target="https://www.who.int/news/item/09-03-2021-devastatingly-pervasive-1-in-3-women-globally-experience-violence" TargetMode="External"/><Relationship Id="rId211" Type="http://schemas.openxmlformats.org/officeDocument/2006/relationships/theme" Target="theme/theme1.xml"/><Relationship Id="rId27" Type="http://schemas.openxmlformats.org/officeDocument/2006/relationships/hyperlink" Target="https://reproductiverights.org/es/report-highlights-lack-of-access-to-srhr-information-in-kenya/" TargetMode="External"/><Relationship Id="rId48" Type="http://schemas.openxmlformats.org/officeDocument/2006/relationships/hyperlink" Target="https://www.globalcitizen.org/en/content/what-is-srhr/" TargetMode="External"/><Relationship Id="rId69" Type="http://schemas.openxmlformats.org/officeDocument/2006/relationships/hyperlink" Target="https://doi.org/10.1002/job.2654" TargetMode="External"/><Relationship Id="rId113" Type="http://schemas.openxmlformats.org/officeDocument/2006/relationships/hyperlink" Target="https://www.humanitarianresponse.info/en/operations/cameroon/document/cameroon-south-west-region-gbv-rapid-assessment-%E2%80%93-key-findings-january" TargetMode="External"/><Relationship Id="rId134" Type="http://schemas.openxmlformats.org/officeDocument/2006/relationships/hyperlink" Target="https://reliefweb.int/report/cameroon/cameroon-humanitarian-snapshot-north-west-and-south-west-regions-april-2020" TargetMode="External"/><Relationship Id="rId80" Type="http://schemas.openxmlformats.org/officeDocument/2006/relationships/hyperlink" Target="https://reliefweb.int/report/cameroon/cameroon-unhcr-buea-idp-response-operational-update-north-west-and-south-west-10" TargetMode="External"/><Relationship Id="rId155" Type="http://schemas.openxmlformats.org/officeDocument/2006/relationships/hyperlink" Target="https://reliefweb.int/report/cameroon/cameroon-humanitarian-bulletin-issue-n-27-november-2021" TargetMode="External"/><Relationship Id="rId176" Type="http://schemas.openxmlformats.org/officeDocument/2006/relationships/hyperlink" Target="https://www.who.int/news/item/09-03-2021-devastatingly-pervasive-1-in-3-women-globally-experience-violence" TargetMode="External"/><Relationship Id="rId197" Type="http://schemas.openxmlformats.org/officeDocument/2006/relationships/image" Target="media/image5.jpg"/><Relationship Id="rId201" Type="http://schemas.openxmlformats.org/officeDocument/2006/relationships/image" Target="media/image9.jpg"/><Relationship Id="rId17" Type="http://schemas.openxmlformats.org/officeDocument/2006/relationships/hyperlink" Target="http://www.bucrep.cm/index.php/fr/ressources-et-documentations/telechargement/category/60-rnep-2014" TargetMode="External"/><Relationship Id="rId38" Type="http://schemas.openxmlformats.org/officeDocument/2006/relationships/hyperlink" Target="https://reproductiverights.org/es/report-highlights-lack-of-access-to-srhr-information-in-kenya/" TargetMode="External"/><Relationship Id="rId59" Type="http://schemas.openxmlformats.org/officeDocument/2006/relationships/hyperlink" Target="https://reliefweb.int/report/cameroon/needs-assessment-report-south-west-region-cameroon-july-2018" TargetMode="External"/><Relationship Id="rId103" Type="http://schemas.openxmlformats.org/officeDocument/2006/relationships/hyperlink" Target="https://www.humanitarianresponse.info/en/operations/cameroon/document/cameroon-south-west-region-gbv-rapid-assessment-%E2%80%93-key-findings-january" TargetMode="External"/><Relationship Id="rId124" Type="http://schemas.openxmlformats.org/officeDocument/2006/relationships/hyperlink" Target="https://reliefweb.int/report/cameroon/cameroon-humanitarian-snapshot-north-west-and-south-west-regions-april-2020" TargetMode="External"/><Relationship Id="rId70" Type="http://schemas.openxmlformats.org/officeDocument/2006/relationships/hyperlink" Target="https://www.ohchr.org/en/issues/women/wrgs/pages/healthrights.aspx" TargetMode="External"/><Relationship Id="rId91" Type="http://schemas.openxmlformats.org/officeDocument/2006/relationships/hyperlink" Target="https://reliefweb.int/report/cameroon/cameroon-unhcr-buea-idp-response-operational-update-north-west-and-south-west-10" TargetMode="External"/><Relationship Id="rId145" Type="http://schemas.openxmlformats.org/officeDocument/2006/relationships/hyperlink" Target="https://reliefweb.int/report/cameroon/cameroon-humanitarian-bulletin-issue-n-27-november-2021" TargetMode="External"/><Relationship Id="rId166" Type="http://schemas.openxmlformats.org/officeDocument/2006/relationships/hyperlink" Target="https://www.who.int/news-room/fact-sheets/detail/violence-against-women" TargetMode="External"/><Relationship Id="rId187" Type="http://schemas.openxmlformats.org/officeDocument/2006/relationships/hyperlink" Target="https://www.who.int/news/item/09-03-2021-devastatingly-pervasive-1-in-3-women-globally-experience-violence" TargetMode="External"/><Relationship Id="rId1" Type="http://schemas.openxmlformats.org/officeDocument/2006/relationships/numbering" Target="numbering.xml"/><Relationship Id="rId28" Type="http://schemas.openxmlformats.org/officeDocument/2006/relationships/hyperlink" Target="https://reproductiverights.org/es/report-highlights-lack-of-access-to-srhr-information-in-kenya/" TargetMode="External"/><Relationship Id="rId49" Type="http://schemas.openxmlformats.org/officeDocument/2006/relationships/hyperlink" Target="https://www.globalcitizen.org/en/content/what-is-srhr/" TargetMode="External"/><Relationship Id="rId114" Type="http://schemas.openxmlformats.org/officeDocument/2006/relationships/hyperlink" Target="https://www.humanitarianresponse.info/en/operations/cameroon/document/cameroon-south-west-region-gbv-rapid-assessment-%E2%80%93-key-findings-january" TargetMode="External"/><Relationship Id="rId60" Type="http://schemas.openxmlformats.org/officeDocument/2006/relationships/hyperlink" Target="https://reliefweb.int/report/cameroon/needs-assessment-report-south-west-region-cameroon-july-2018" TargetMode="External"/><Relationship Id="rId81" Type="http://schemas.openxmlformats.org/officeDocument/2006/relationships/hyperlink" Target="https://reliefweb.int/report/cameroon/cameroon-unhcr-buea-idp-response-operational-update-north-west-and-south-west-10" TargetMode="External"/><Relationship Id="rId135" Type="http://schemas.openxmlformats.org/officeDocument/2006/relationships/hyperlink" Target="https://reliefweb.int/report/cameroon/cameroon-humanitarian-snapshot-north-west-and-south-west-regions-april-2020" TargetMode="External"/><Relationship Id="rId156" Type="http://schemas.openxmlformats.org/officeDocument/2006/relationships/hyperlink" Target="https://reliefweb.int/report/cameroon/cameroon-humanitarian-bulletin-issue-n-27-november-2021" TargetMode="External"/><Relationship Id="rId177" Type="http://schemas.openxmlformats.org/officeDocument/2006/relationships/hyperlink" Target="https://www.who.int/news/item/09-03-2021-devastatingly-pervasive-1-in-3-women-globally-experience-violence" TargetMode="External"/><Relationship Id="rId198" Type="http://schemas.openxmlformats.org/officeDocument/2006/relationships/image" Target="media/image6.jpg"/><Relationship Id="rId202" Type="http://schemas.openxmlformats.org/officeDocument/2006/relationships/image" Target="media/image10.jpg"/><Relationship Id="rId18" Type="http://schemas.openxmlformats.org/officeDocument/2006/relationships/hyperlink" Target="http://www.bucrep.cm/index.php/fr/ressources-et-documentations/telechargement/category/60-rnep-2014" TargetMode="External"/><Relationship Id="rId39" Type="http://schemas.openxmlformats.org/officeDocument/2006/relationships/hyperlink" Target="https://reproductiverights.org/es/report-highlights-lack-of-access-to-srhr-information-in-kenya/" TargetMode="External"/><Relationship Id="rId50" Type="http://schemas.openxmlformats.org/officeDocument/2006/relationships/hyperlink" Target="https://reliefweb.int/report/cameroon/needs-assessment-report-south-west-region-cameroon-july-2018" TargetMode="External"/><Relationship Id="rId104" Type="http://schemas.openxmlformats.org/officeDocument/2006/relationships/hyperlink" Target="https://www.humanitarianresponse.info/en/operations/cameroon/document/cameroon-south-west-region-gbv-rapid-assessment-%E2%80%93-key-findings-january" TargetMode="External"/><Relationship Id="rId125" Type="http://schemas.openxmlformats.org/officeDocument/2006/relationships/hyperlink" Target="https://reliefweb.int/report/cameroon/cameroon-humanitarian-snapshot-north-west-and-south-west-regions-april-2020" TargetMode="External"/><Relationship Id="rId146" Type="http://schemas.openxmlformats.org/officeDocument/2006/relationships/hyperlink" Target="https://reliefweb.int/report/cameroon/cameroon-humanitarian-bulletin-issue-n-27-november-2021" TargetMode="External"/><Relationship Id="rId167" Type="http://schemas.openxmlformats.org/officeDocument/2006/relationships/hyperlink" Target="https://www.who.int/news-room/fact-sheets/detail/violence-against-women" TargetMode="External"/><Relationship Id="rId188" Type="http://schemas.openxmlformats.org/officeDocument/2006/relationships/hyperlink" Target="https://www.who.int/news/item/09-03-2021-devastatingly-pervasive-1-in-3-women-globally-experience-violence" TargetMode="External"/><Relationship Id="rId71" Type="http://schemas.openxmlformats.org/officeDocument/2006/relationships/hyperlink" Target="https://www.ohchr.org/en/issues/women/wrgs/pages/healthrights.aspx" TargetMode="External"/><Relationship Id="rId92" Type="http://schemas.openxmlformats.org/officeDocument/2006/relationships/hyperlink" Target="https://reliefweb.int/report/cameroon/cameroon-unhcr-buea-idp-response-operational-update-north-west-and-south-west-10" TargetMode="External"/><Relationship Id="rId2" Type="http://schemas.openxmlformats.org/officeDocument/2006/relationships/styles" Target="styles.xml"/><Relationship Id="rId29" Type="http://schemas.openxmlformats.org/officeDocument/2006/relationships/hyperlink" Target="https://reproductiverights.org/es/report-highlights-lack-of-access-to-srhr-information-in-kenya/" TargetMode="External"/><Relationship Id="rId40" Type="http://schemas.openxmlformats.org/officeDocument/2006/relationships/hyperlink" Target="https://reproductiverights.org/es/report-highlights-lack-of-access-to-srhr-information-in-kenya/" TargetMode="External"/><Relationship Id="rId115" Type="http://schemas.openxmlformats.org/officeDocument/2006/relationships/hyperlink" Target="https://www.humanitarianresponse.info/en/operations/cameroon/document/cameroon-south-west-region-gbv-rapid-assessment-%E2%80%93-key-findings-january" TargetMode="External"/><Relationship Id="rId136" Type="http://schemas.openxmlformats.org/officeDocument/2006/relationships/hyperlink" Target="https://reliefweb.int/report/cameroon/cameroon-humanitarian-snapshot-north-west-and-south-west-regions-april-2020" TargetMode="External"/><Relationship Id="rId157" Type="http://schemas.openxmlformats.org/officeDocument/2006/relationships/hyperlink" Target="https://reliefweb.int/report/cameroon/cameroon-humanitarian-bulletin-issue-n-27-november-2021" TargetMode="External"/><Relationship Id="rId178" Type="http://schemas.openxmlformats.org/officeDocument/2006/relationships/hyperlink" Target="https://www.who.int/news/item/09-03-2021-devastatingly-pervasive-1-in-3-women-globally-experience-vio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10028</Words>
  <Characters>57161</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Nkongho Nchong Achere</dc:creator>
  <cp:keywords/>
  <cp:lastModifiedBy>PC</cp:lastModifiedBy>
  <cp:revision>2</cp:revision>
  <dcterms:created xsi:type="dcterms:W3CDTF">2023-11-08T14:55:00Z</dcterms:created>
  <dcterms:modified xsi:type="dcterms:W3CDTF">2023-11-08T14:55:00Z</dcterms:modified>
</cp:coreProperties>
</file>